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C9" w:rsidRPr="00E43B83" w:rsidRDefault="00AE0EC9" w:rsidP="00AE0EC9">
      <w:pPr>
        <w:jc w:val="center"/>
        <w:rPr>
          <w:b/>
          <w:color w:val="000000" w:themeColor="text1"/>
          <w:lang w:val="ro-RO"/>
        </w:rPr>
      </w:pPr>
      <w:r w:rsidRPr="00E43B83">
        <w:rPr>
          <w:b/>
          <w:color w:val="000000" w:themeColor="text1"/>
          <w:lang w:val="ro-RO"/>
        </w:rPr>
        <w:t>Tabelul divergenţelor</w:t>
      </w:r>
    </w:p>
    <w:p w:rsidR="00752526" w:rsidRPr="00752526" w:rsidRDefault="00AE0EC9" w:rsidP="00752526">
      <w:pPr>
        <w:ind w:right="-13"/>
        <w:jc w:val="center"/>
        <w:rPr>
          <w:b/>
          <w:color w:val="000000" w:themeColor="text1"/>
          <w:lang w:val="en-US"/>
        </w:rPr>
      </w:pPr>
      <w:r w:rsidRPr="004D18BF">
        <w:rPr>
          <w:b/>
          <w:color w:val="000000" w:themeColor="text1"/>
          <w:lang w:val="en-US"/>
        </w:rPr>
        <w:t>la</w:t>
      </w:r>
      <w:r>
        <w:rPr>
          <w:b/>
          <w:color w:val="000000" w:themeColor="text1"/>
          <w:lang w:val="en-US"/>
        </w:rPr>
        <w:t xml:space="preserve"> proiectul H</w:t>
      </w:r>
      <w:r w:rsidRPr="004D18BF">
        <w:rPr>
          <w:b/>
          <w:color w:val="000000" w:themeColor="text1"/>
          <w:lang w:val="en-US"/>
        </w:rPr>
        <w:t xml:space="preserve">otărîrii </w:t>
      </w:r>
      <w:r>
        <w:rPr>
          <w:b/>
          <w:color w:val="000000" w:themeColor="text1"/>
          <w:lang w:val="en-US"/>
        </w:rPr>
        <w:t xml:space="preserve">de </w:t>
      </w:r>
      <w:r w:rsidRPr="004D18BF">
        <w:rPr>
          <w:b/>
          <w:color w:val="000000" w:themeColor="text1"/>
          <w:lang w:val="en-US"/>
        </w:rPr>
        <w:t xml:space="preserve">Guvernului </w:t>
      </w:r>
      <w:r w:rsidR="00752526" w:rsidRPr="00752526">
        <w:rPr>
          <w:b/>
          <w:color w:val="000000" w:themeColor="text1"/>
          <w:lang w:val="en-US"/>
        </w:rPr>
        <w:t>,,Pentru aprobarea Normei sanitar-veterinare privind</w:t>
      </w:r>
    </w:p>
    <w:p w:rsidR="00AE0EC9" w:rsidRPr="002A3EE8" w:rsidRDefault="00752526" w:rsidP="00752526">
      <w:pPr>
        <w:ind w:right="-13"/>
        <w:jc w:val="center"/>
        <w:rPr>
          <w:b/>
          <w:lang w:val="ro-MO"/>
        </w:rPr>
      </w:pPr>
      <w:r w:rsidRPr="00752526">
        <w:rPr>
          <w:b/>
          <w:color w:val="000000" w:themeColor="text1"/>
          <w:lang w:val="en-US"/>
        </w:rPr>
        <w:t>măsurile de combatere a bolii de Newcastle (pseudopesta aviară)”</w:t>
      </w:r>
    </w:p>
    <w:p w:rsidR="00AE0EC9" w:rsidRPr="002A3EE8" w:rsidRDefault="00AE0EC9" w:rsidP="00AE0EC9">
      <w:pPr>
        <w:rPr>
          <w:b/>
          <w:bCs/>
          <w:color w:val="000000" w:themeColor="text1"/>
          <w:lang w:val="ro-MO"/>
        </w:rPr>
      </w:pPr>
    </w:p>
    <w:tbl>
      <w:tblPr>
        <w:tblStyle w:val="a3"/>
        <w:tblW w:w="15735" w:type="dxa"/>
        <w:tblInd w:w="-459" w:type="dxa"/>
        <w:tblLook w:val="04A0" w:firstRow="1" w:lastRow="0" w:firstColumn="1" w:lastColumn="0" w:noHBand="0" w:noVBand="1"/>
      </w:tblPr>
      <w:tblGrid>
        <w:gridCol w:w="659"/>
        <w:gridCol w:w="3104"/>
        <w:gridCol w:w="5593"/>
        <w:gridCol w:w="6379"/>
      </w:tblGrid>
      <w:tr w:rsidR="00AE0EC9" w:rsidRPr="00540533" w:rsidTr="007E2A11">
        <w:trPr>
          <w:trHeight w:val="500"/>
        </w:trPr>
        <w:tc>
          <w:tcPr>
            <w:tcW w:w="659" w:type="dxa"/>
          </w:tcPr>
          <w:p w:rsidR="00AE0EC9" w:rsidRPr="0009232E" w:rsidRDefault="00AE0EC9" w:rsidP="00752526">
            <w:pPr>
              <w:jc w:val="center"/>
              <w:rPr>
                <w:sz w:val="20"/>
                <w:szCs w:val="20"/>
                <w:lang w:val="ro-RO"/>
              </w:rPr>
            </w:pPr>
            <w:r w:rsidRPr="0009232E">
              <w:rPr>
                <w:b/>
                <w:bCs/>
                <w:sz w:val="20"/>
                <w:szCs w:val="20"/>
                <w:lang w:val="ro-RO"/>
              </w:rPr>
              <w:t>Nr. crt.</w:t>
            </w:r>
          </w:p>
        </w:tc>
        <w:tc>
          <w:tcPr>
            <w:tcW w:w="3104" w:type="dxa"/>
          </w:tcPr>
          <w:p w:rsidR="00AE0EC9" w:rsidRPr="0009232E" w:rsidRDefault="00AE0EC9" w:rsidP="00752526">
            <w:pPr>
              <w:jc w:val="center"/>
              <w:rPr>
                <w:b/>
                <w:bCs/>
                <w:sz w:val="20"/>
                <w:szCs w:val="20"/>
                <w:lang w:val="ro-RO"/>
              </w:rPr>
            </w:pPr>
            <w:r w:rsidRPr="0009232E">
              <w:rPr>
                <w:b/>
                <w:bCs/>
                <w:sz w:val="20"/>
                <w:szCs w:val="20"/>
                <w:lang w:val="ro-RO"/>
              </w:rPr>
              <w:t>Instituţia,</w:t>
            </w:r>
          </w:p>
          <w:p w:rsidR="00AE0EC9" w:rsidRPr="0009232E" w:rsidRDefault="00AE0EC9" w:rsidP="00752526">
            <w:pPr>
              <w:jc w:val="center"/>
              <w:rPr>
                <w:b/>
                <w:bCs/>
                <w:sz w:val="20"/>
                <w:szCs w:val="20"/>
                <w:lang w:val="ro-RO"/>
              </w:rPr>
            </w:pPr>
            <w:r w:rsidRPr="0009232E">
              <w:rPr>
                <w:b/>
                <w:bCs/>
                <w:sz w:val="20"/>
                <w:szCs w:val="20"/>
                <w:lang w:val="ro-RO"/>
              </w:rPr>
              <w:t>Avizul</w:t>
            </w:r>
          </w:p>
          <w:p w:rsidR="00AE0EC9" w:rsidRPr="0009232E" w:rsidRDefault="00AE0EC9" w:rsidP="00752526">
            <w:pPr>
              <w:jc w:val="center"/>
              <w:rPr>
                <w:sz w:val="20"/>
                <w:szCs w:val="20"/>
                <w:lang w:val="ro-RO"/>
              </w:rPr>
            </w:pPr>
          </w:p>
        </w:tc>
        <w:tc>
          <w:tcPr>
            <w:tcW w:w="5593" w:type="dxa"/>
          </w:tcPr>
          <w:p w:rsidR="00AE0EC9" w:rsidRPr="0009232E" w:rsidRDefault="00AE0EC9" w:rsidP="00752526">
            <w:pPr>
              <w:jc w:val="center"/>
              <w:rPr>
                <w:b/>
                <w:bCs/>
                <w:sz w:val="20"/>
                <w:szCs w:val="20"/>
                <w:lang w:val="ro-RO"/>
              </w:rPr>
            </w:pPr>
            <w:r w:rsidRPr="0009232E">
              <w:rPr>
                <w:b/>
                <w:bCs/>
                <w:sz w:val="20"/>
                <w:szCs w:val="20"/>
                <w:lang w:val="ro-RO"/>
              </w:rPr>
              <w:t>Propuneri</w:t>
            </w:r>
          </w:p>
          <w:p w:rsidR="00AE0EC9" w:rsidRPr="0009232E" w:rsidRDefault="00AE0EC9" w:rsidP="00752526">
            <w:pPr>
              <w:jc w:val="center"/>
              <w:rPr>
                <w:sz w:val="20"/>
                <w:szCs w:val="20"/>
                <w:lang w:val="ro-RO"/>
              </w:rPr>
            </w:pPr>
            <w:r w:rsidRPr="0009232E">
              <w:rPr>
                <w:b/>
                <w:bCs/>
                <w:sz w:val="20"/>
                <w:szCs w:val="20"/>
                <w:lang w:val="ro-RO"/>
              </w:rPr>
              <w:t>şi obiecţii</w:t>
            </w:r>
          </w:p>
        </w:tc>
        <w:tc>
          <w:tcPr>
            <w:tcW w:w="6379" w:type="dxa"/>
          </w:tcPr>
          <w:p w:rsidR="00AE0EC9" w:rsidRPr="0009232E" w:rsidRDefault="00AE0EC9" w:rsidP="00752526">
            <w:pPr>
              <w:jc w:val="center"/>
              <w:rPr>
                <w:sz w:val="20"/>
                <w:szCs w:val="20"/>
                <w:lang w:val="ro-RO"/>
              </w:rPr>
            </w:pPr>
            <w:r w:rsidRPr="0009232E">
              <w:rPr>
                <w:b/>
                <w:bCs/>
                <w:sz w:val="20"/>
                <w:szCs w:val="20"/>
                <w:lang w:val="en-US"/>
              </w:rPr>
              <w:t>Nota</w:t>
            </w:r>
            <w:r w:rsidRPr="0009232E">
              <w:rPr>
                <w:b/>
                <w:bCs/>
                <w:sz w:val="20"/>
                <w:szCs w:val="20"/>
                <w:lang w:val="ro-RO"/>
              </w:rPr>
              <w:t xml:space="preserve"> autorului</w:t>
            </w:r>
          </w:p>
        </w:tc>
      </w:tr>
      <w:tr w:rsidR="00AE0EC9" w:rsidRPr="00F24B45" w:rsidTr="007E2A11">
        <w:trPr>
          <w:trHeight w:val="500"/>
        </w:trPr>
        <w:tc>
          <w:tcPr>
            <w:tcW w:w="659" w:type="dxa"/>
          </w:tcPr>
          <w:p w:rsidR="00AE0EC9" w:rsidRPr="0009232E" w:rsidRDefault="00AE0EC9" w:rsidP="00AE0EC9">
            <w:pPr>
              <w:jc w:val="both"/>
              <w:rPr>
                <w:b/>
                <w:bCs/>
                <w:sz w:val="20"/>
                <w:szCs w:val="20"/>
                <w:lang w:val="ro-RO"/>
              </w:rPr>
            </w:pPr>
            <w:r w:rsidRPr="0009232E">
              <w:rPr>
                <w:b/>
                <w:bCs/>
                <w:sz w:val="20"/>
                <w:szCs w:val="20"/>
                <w:lang w:val="ro-RO"/>
              </w:rPr>
              <w:t>I</w:t>
            </w:r>
          </w:p>
        </w:tc>
        <w:tc>
          <w:tcPr>
            <w:tcW w:w="3104" w:type="dxa"/>
          </w:tcPr>
          <w:p w:rsidR="00AE0EC9" w:rsidRPr="0009232E" w:rsidRDefault="00AE0EC9" w:rsidP="00AE0EC9">
            <w:pPr>
              <w:jc w:val="both"/>
              <w:rPr>
                <w:b/>
                <w:bCs/>
                <w:sz w:val="20"/>
                <w:szCs w:val="20"/>
                <w:lang w:val="ro-RO"/>
              </w:rPr>
            </w:pPr>
            <w:r w:rsidRPr="0009232E">
              <w:rPr>
                <w:b/>
                <w:bCs/>
                <w:sz w:val="20"/>
                <w:szCs w:val="20"/>
                <w:lang w:val="ro-RO"/>
              </w:rPr>
              <w:t>Federaţia Naţională a Patronatului din Agricultură şi Industria Alimentară (</w:t>
            </w:r>
            <w:r w:rsidR="007E2294" w:rsidRPr="0009232E">
              <w:rPr>
                <w:b/>
                <w:bCs/>
                <w:sz w:val="20"/>
                <w:szCs w:val="20"/>
                <w:lang w:val="ro-RO"/>
              </w:rPr>
              <w:t>nr. 2 din 31 mai</w:t>
            </w:r>
            <w:r w:rsidRPr="0009232E">
              <w:rPr>
                <w:b/>
                <w:bCs/>
                <w:sz w:val="20"/>
                <w:szCs w:val="20"/>
                <w:lang w:val="ro-RO"/>
              </w:rPr>
              <w:t xml:space="preserve"> 2017)</w:t>
            </w:r>
          </w:p>
        </w:tc>
        <w:tc>
          <w:tcPr>
            <w:tcW w:w="11972" w:type="dxa"/>
            <w:gridSpan w:val="2"/>
          </w:tcPr>
          <w:p w:rsidR="00AE0EC9" w:rsidRPr="0009232E" w:rsidRDefault="00AE0EC9" w:rsidP="007E2294">
            <w:pPr>
              <w:jc w:val="center"/>
              <w:rPr>
                <w:b/>
                <w:bCs/>
                <w:sz w:val="20"/>
                <w:szCs w:val="20"/>
                <w:lang w:val="en-US"/>
              </w:rPr>
            </w:pPr>
            <w:r w:rsidRPr="0009232E">
              <w:rPr>
                <w:b/>
                <w:bCs/>
                <w:sz w:val="20"/>
                <w:szCs w:val="20"/>
                <w:lang w:val="en-US"/>
              </w:rPr>
              <w:t>Aviz pozitiv,</w:t>
            </w:r>
          </w:p>
          <w:p w:rsidR="00AE0EC9" w:rsidRPr="0009232E" w:rsidRDefault="00AE0EC9" w:rsidP="007E2294">
            <w:pPr>
              <w:jc w:val="center"/>
              <w:rPr>
                <w:bCs/>
                <w:sz w:val="20"/>
                <w:szCs w:val="20"/>
                <w:lang w:val="en-US"/>
              </w:rPr>
            </w:pPr>
            <w:r w:rsidRPr="0009232E">
              <w:rPr>
                <w:sz w:val="20"/>
                <w:szCs w:val="20"/>
                <w:lang w:val="en-US"/>
              </w:rPr>
              <w:t>Lipsa obiecţiilor şi propunerilor</w:t>
            </w:r>
          </w:p>
        </w:tc>
      </w:tr>
      <w:tr w:rsidR="00C466C0" w:rsidRPr="00F24B45" w:rsidTr="007E2A11">
        <w:trPr>
          <w:trHeight w:val="500"/>
        </w:trPr>
        <w:tc>
          <w:tcPr>
            <w:tcW w:w="659" w:type="dxa"/>
          </w:tcPr>
          <w:p w:rsidR="00C466C0" w:rsidRPr="0009232E" w:rsidRDefault="000265F6" w:rsidP="00AE0EC9">
            <w:pPr>
              <w:jc w:val="both"/>
              <w:rPr>
                <w:b/>
                <w:bCs/>
                <w:sz w:val="20"/>
                <w:szCs w:val="20"/>
                <w:lang w:val="en-US"/>
              </w:rPr>
            </w:pPr>
            <w:r w:rsidRPr="0009232E">
              <w:rPr>
                <w:b/>
                <w:bCs/>
                <w:sz w:val="20"/>
                <w:szCs w:val="20"/>
                <w:lang w:val="en-US"/>
              </w:rPr>
              <w:t>II</w:t>
            </w:r>
          </w:p>
        </w:tc>
        <w:tc>
          <w:tcPr>
            <w:tcW w:w="3104" w:type="dxa"/>
          </w:tcPr>
          <w:p w:rsidR="00C466C0" w:rsidRPr="0009232E" w:rsidRDefault="009E0C27" w:rsidP="00AE0EC9">
            <w:pPr>
              <w:jc w:val="both"/>
              <w:rPr>
                <w:b/>
                <w:bCs/>
                <w:sz w:val="20"/>
                <w:szCs w:val="20"/>
                <w:lang w:val="ro-RO"/>
              </w:rPr>
            </w:pPr>
            <w:r w:rsidRPr="0009232E">
              <w:rPr>
                <w:b/>
                <w:bCs/>
                <w:sz w:val="20"/>
                <w:szCs w:val="20"/>
                <w:lang w:val="ro-RO"/>
              </w:rPr>
              <w:t>Ministerul Afacerilor Externe şi Integrării Europene (</w:t>
            </w:r>
            <w:r w:rsidR="00F130FD" w:rsidRPr="0009232E">
              <w:rPr>
                <w:b/>
                <w:bCs/>
                <w:sz w:val="20"/>
                <w:szCs w:val="20"/>
                <w:lang w:val="ro-RO"/>
              </w:rPr>
              <w:t xml:space="preserve">nr. </w:t>
            </w:r>
            <w:r w:rsidRPr="0009232E">
              <w:rPr>
                <w:b/>
                <w:bCs/>
                <w:sz w:val="20"/>
                <w:szCs w:val="20"/>
                <w:lang w:val="ro-RO"/>
              </w:rPr>
              <w:t>DI/3/</w:t>
            </w:r>
            <w:r w:rsidR="00DF061D" w:rsidRPr="0009232E">
              <w:rPr>
                <w:b/>
                <w:bCs/>
                <w:sz w:val="20"/>
                <w:szCs w:val="20"/>
                <w:lang w:val="ro-RO"/>
              </w:rPr>
              <w:t>041.1-7034 din 06.06.2017</w:t>
            </w:r>
            <w:r w:rsidRPr="0009232E">
              <w:rPr>
                <w:b/>
                <w:bCs/>
                <w:sz w:val="20"/>
                <w:szCs w:val="20"/>
                <w:lang w:val="ro-RO"/>
              </w:rPr>
              <w:t>)</w:t>
            </w:r>
          </w:p>
        </w:tc>
        <w:tc>
          <w:tcPr>
            <w:tcW w:w="5593" w:type="dxa"/>
          </w:tcPr>
          <w:p w:rsidR="00C466C0" w:rsidRPr="0009232E" w:rsidRDefault="00DF061D" w:rsidP="00DF061D">
            <w:pPr>
              <w:jc w:val="both"/>
              <w:rPr>
                <w:bCs/>
                <w:sz w:val="20"/>
                <w:szCs w:val="20"/>
                <w:lang w:val="ro-RO"/>
              </w:rPr>
            </w:pPr>
            <w:r w:rsidRPr="0009232E">
              <w:rPr>
                <w:bCs/>
                <w:sz w:val="20"/>
                <w:szCs w:val="20"/>
                <w:lang w:val="ro-RO"/>
              </w:rPr>
              <w:t xml:space="preserve">- Analizînd conţinutul Notei informative, se consideră judicioasă </w:t>
            </w:r>
            <w:r w:rsidR="002C5F8F" w:rsidRPr="0009232E">
              <w:rPr>
                <w:bCs/>
                <w:sz w:val="20"/>
                <w:szCs w:val="20"/>
                <w:lang w:val="ro-RO"/>
              </w:rPr>
              <w:t>completarea acesteia cu referinţe privind reglementările</w:t>
            </w:r>
            <w:r w:rsidR="00C31800" w:rsidRPr="0009232E">
              <w:rPr>
                <w:bCs/>
                <w:sz w:val="20"/>
                <w:szCs w:val="20"/>
                <w:lang w:val="ro-RO"/>
              </w:rPr>
              <w:t xml:space="preserve"> corespondente ale legislaţiei comunitare şi numele participanţilor la elaborarea proiectului, conform prevederilor art. 37 al Legii nr. 317 din 18.07.2003 privind actele normative ale Guvernului şi ale altor autorităţi ale administraţiei publice centrale şi locale.</w:t>
            </w:r>
          </w:p>
          <w:p w:rsidR="00134009" w:rsidRPr="0009232E" w:rsidRDefault="001A3DE8" w:rsidP="00DF061D">
            <w:pPr>
              <w:jc w:val="both"/>
              <w:rPr>
                <w:bCs/>
                <w:sz w:val="20"/>
                <w:szCs w:val="20"/>
                <w:lang w:val="ro-RO"/>
              </w:rPr>
            </w:pPr>
            <w:r w:rsidRPr="0009232E">
              <w:rPr>
                <w:bCs/>
                <w:sz w:val="20"/>
                <w:szCs w:val="20"/>
                <w:lang w:val="ro-RO"/>
              </w:rPr>
              <w:t xml:space="preserve">- </w:t>
            </w:r>
            <w:r w:rsidR="00B221B8" w:rsidRPr="0009232E">
              <w:rPr>
                <w:bCs/>
                <w:sz w:val="20"/>
                <w:szCs w:val="20"/>
                <w:lang w:val="ro-RO"/>
              </w:rPr>
              <w:t>Totodată, luînd în consideraţie intenţia autorităţilor</w:t>
            </w:r>
            <w:r w:rsidR="000E4775" w:rsidRPr="0009232E">
              <w:rPr>
                <w:bCs/>
                <w:sz w:val="20"/>
                <w:szCs w:val="20"/>
                <w:lang w:val="ro-RO"/>
              </w:rPr>
              <w:t xml:space="preserve"> proiectului în speţă de a transpune Directiva 92/66/CEE, clauza de armonizare din partea introductivă a proiectului</w:t>
            </w:r>
            <w:r w:rsidRPr="0009232E">
              <w:rPr>
                <w:bCs/>
                <w:sz w:val="20"/>
                <w:szCs w:val="20"/>
                <w:lang w:val="ro-RO"/>
              </w:rPr>
              <w:t xml:space="preserve"> Normei sanitar-veterinare urmeză să fie redactată conform cerinţelor din pct. 16 al Regulamentului privind</w:t>
            </w:r>
            <w:r w:rsidR="007C19AE" w:rsidRPr="0009232E">
              <w:rPr>
                <w:bCs/>
                <w:sz w:val="20"/>
                <w:szCs w:val="20"/>
                <w:lang w:val="ro-RO"/>
              </w:rPr>
              <w:t xml:space="preserve"> mecanismul de armonizare a legislaţiei Republicii Moldova cu legislaţia comunitară, aprobat prin Hotărîrea Guvernului nr. 1345 din 24 noiembrie 2006.</w:t>
            </w:r>
          </w:p>
          <w:p w:rsidR="006529C4" w:rsidRPr="0009232E" w:rsidRDefault="006529C4" w:rsidP="00DF061D">
            <w:pPr>
              <w:jc w:val="both"/>
              <w:rPr>
                <w:b/>
                <w:bCs/>
                <w:sz w:val="20"/>
                <w:szCs w:val="20"/>
                <w:lang w:val="ro-RO"/>
              </w:rPr>
            </w:pPr>
          </w:p>
        </w:tc>
        <w:tc>
          <w:tcPr>
            <w:tcW w:w="6379" w:type="dxa"/>
          </w:tcPr>
          <w:p w:rsidR="00C466C0" w:rsidRPr="0009232E" w:rsidRDefault="00D17797" w:rsidP="00D17797">
            <w:pPr>
              <w:jc w:val="both"/>
              <w:rPr>
                <w:bCs/>
                <w:sz w:val="20"/>
                <w:szCs w:val="20"/>
                <w:lang w:val="en-US"/>
              </w:rPr>
            </w:pPr>
            <w:r w:rsidRPr="0009232E">
              <w:rPr>
                <w:b/>
                <w:bCs/>
                <w:sz w:val="20"/>
                <w:szCs w:val="20"/>
                <w:lang w:val="en-US"/>
              </w:rPr>
              <w:t xml:space="preserve">Se acceptă, </w:t>
            </w:r>
            <w:r w:rsidR="00F37662" w:rsidRPr="0009232E">
              <w:rPr>
                <w:bCs/>
                <w:sz w:val="20"/>
                <w:szCs w:val="20"/>
                <w:lang w:val="en-US"/>
              </w:rPr>
              <w:t>a fost revizuit şi redactat conţinutul textului Notei informative a proiectului prenotat.</w:t>
            </w:r>
          </w:p>
          <w:p w:rsidR="00F37662" w:rsidRPr="0009232E" w:rsidRDefault="00F37662" w:rsidP="00D17797">
            <w:pPr>
              <w:jc w:val="both"/>
              <w:rPr>
                <w:bCs/>
                <w:sz w:val="20"/>
                <w:szCs w:val="20"/>
                <w:lang w:val="en-US"/>
              </w:rPr>
            </w:pPr>
          </w:p>
          <w:p w:rsidR="00F37662" w:rsidRPr="0009232E" w:rsidRDefault="00F37662" w:rsidP="00D17797">
            <w:pPr>
              <w:jc w:val="both"/>
              <w:rPr>
                <w:bCs/>
                <w:sz w:val="20"/>
                <w:szCs w:val="20"/>
                <w:lang w:val="en-US"/>
              </w:rPr>
            </w:pPr>
          </w:p>
          <w:p w:rsidR="00F37662" w:rsidRPr="0009232E" w:rsidRDefault="00F37662" w:rsidP="00D17797">
            <w:pPr>
              <w:jc w:val="both"/>
              <w:rPr>
                <w:bCs/>
                <w:sz w:val="20"/>
                <w:szCs w:val="20"/>
                <w:lang w:val="en-US"/>
              </w:rPr>
            </w:pPr>
          </w:p>
          <w:p w:rsidR="00F37662" w:rsidRPr="0009232E" w:rsidRDefault="00F37662" w:rsidP="00D17797">
            <w:pPr>
              <w:jc w:val="both"/>
              <w:rPr>
                <w:bCs/>
                <w:sz w:val="20"/>
                <w:szCs w:val="20"/>
                <w:lang w:val="en-US"/>
              </w:rPr>
            </w:pPr>
          </w:p>
          <w:p w:rsidR="00F37662" w:rsidRPr="0009232E" w:rsidRDefault="00F37662" w:rsidP="000A361E">
            <w:pPr>
              <w:jc w:val="both"/>
              <w:rPr>
                <w:bCs/>
                <w:sz w:val="20"/>
                <w:szCs w:val="20"/>
                <w:lang w:val="en-US"/>
              </w:rPr>
            </w:pPr>
            <w:r w:rsidRPr="0009232E">
              <w:rPr>
                <w:b/>
                <w:bCs/>
                <w:sz w:val="20"/>
                <w:szCs w:val="20"/>
                <w:lang w:val="en-US"/>
              </w:rPr>
              <w:t xml:space="preserve">Se acceptă, </w:t>
            </w:r>
            <w:r w:rsidR="000A361E" w:rsidRPr="0009232E">
              <w:rPr>
                <w:bCs/>
                <w:sz w:val="20"/>
                <w:szCs w:val="20"/>
                <w:lang w:val="en-US"/>
              </w:rPr>
              <w:t>clauza de armonizare din partea introductivă a proiectului Normei sanitar-veterinare a fost revizuită şi redactată conform cerinţelor din pct. 16 al Regulamentului privind mecanismul de armonizare a legislaţiei Republicii Moldova cu legislaţia comunitară, aprobat prin Hotărîrea Guvernului nr. 1345 din 24 noiembrie 2006.</w:t>
            </w:r>
          </w:p>
        </w:tc>
      </w:tr>
      <w:tr w:rsidR="00EB03B0" w:rsidRPr="00F24B45" w:rsidTr="007E2A11">
        <w:trPr>
          <w:trHeight w:val="500"/>
        </w:trPr>
        <w:tc>
          <w:tcPr>
            <w:tcW w:w="659" w:type="dxa"/>
          </w:tcPr>
          <w:p w:rsidR="00EB03B0" w:rsidRPr="0009232E" w:rsidRDefault="00EB03B0" w:rsidP="00AE0EC9">
            <w:pPr>
              <w:jc w:val="both"/>
              <w:rPr>
                <w:b/>
                <w:bCs/>
                <w:sz w:val="20"/>
                <w:szCs w:val="20"/>
                <w:lang w:val="en-US"/>
              </w:rPr>
            </w:pPr>
            <w:r w:rsidRPr="0009232E">
              <w:rPr>
                <w:b/>
                <w:bCs/>
                <w:sz w:val="20"/>
                <w:szCs w:val="20"/>
                <w:lang w:val="en-US"/>
              </w:rPr>
              <w:t>III</w:t>
            </w:r>
          </w:p>
        </w:tc>
        <w:tc>
          <w:tcPr>
            <w:tcW w:w="3104" w:type="dxa"/>
          </w:tcPr>
          <w:p w:rsidR="00EB03B0" w:rsidRPr="0009232E" w:rsidRDefault="00EB03B0" w:rsidP="00AE0EC9">
            <w:pPr>
              <w:jc w:val="both"/>
              <w:rPr>
                <w:b/>
                <w:bCs/>
                <w:sz w:val="20"/>
                <w:szCs w:val="20"/>
                <w:lang w:val="ro-RO"/>
              </w:rPr>
            </w:pPr>
            <w:r w:rsidRPr="0009232E">
              <w:rPr>
                <w:b/>
                <w:bCs/>
                <w:sz w:val="20"/>
                <w:szCs w:val="20"/>
                <w:lang w:val="ro-RO"/>
              </w:rPr>
              <w:t>Ministerul Finanţelor</w:t>
            </w:r>
            <w:r w:rsidR="00D615AF" w:rsidRPr="0009232E">
              <w:rPr>
                <w:b/>
                <w:bCs/>
                <w:sz w:val="20"/>
                <w:szCs w:val="20"/>
                <w:lang w:val="ro-RO"/>
              </w:rPr>
              <w:t xml:space="preserve"> (nr. 11/1-2-09/417 din 05.06.2017)</w:t>
            </w:r>
          </w:p>
        </w:tc>
        <w:tc>
          <w:tcPr>
            <w:tcW w:w="5593" w:type="dxa"/>
          </w:tcPr>
          <w:p w:rsidR="00393748" w:rsidRPr="0009232E" w:rsidRDefault="00EB03B0" w:rsidP="00EB03B0">
            <w:pPr>
              <w:jc w:val="both"/>
              <w:rPr>
                <w:bCs/>
                <w:sz w:val="20"/>
                <w:szCs w:val="20"/>
                <w:lang w:val="ro-RO"/>
              </w:rPr>
            </w:pPr>
            <w:r w:rsidRPr="0009232E">
              <w:rPr>
                <w:bCs/>
                <w:sz w:val="20"/>
                <w:szCs w:val="20"/>
                <w:lang w:val="ro-RO"/>
              </w:rPr>
              <w:t>-</w:t>
            </w:r>
            <w:r w:rsidR="00C0518F">
              <w:rPr>
                <w:bCs/>
                <w:sz w:val="20"/>
                <w:szCs w:val="20"/>
                <w:lang w:val="ro-RO"/>
              </w:rPr>
              <w:t xml:space="preserve"> </w:t>
            </w:r>
            <w:bookmarkStart w:id="0" w:name="_GoBack"/>
            <w:bookmarkEnd w:id="0"/>
            <w:r w:rsidRPr="0009232E">
              <w:rPr>
                <w:bCs/>
                <w:sz w:val="20"/>
                <w:szCs w:val="20"/>
                <w:lang w:val="ro-RO"/>
              </w:rPr>
              <w:t>Solicităm suplinirea compartimentului fundamentarea economico-finan</w:t>
            </w:r>
            <w:r w:rsidR="00366BDC" w:rsidRPr="0009232E">
              <w:rPr>
                <w:bCs/>
                <w:sz w:val="20"/>
                <w:szCs w:val="20"/>
                <w:lang w:val="ro-RO"/>
              </w:rPr>
              <w:t xml:space="preserve">ciară din cadrul notei informative a proiectului, cu următoarea </w:t>
            </w:r>
            <w:r w:rsidR="002B38DE" w:rsidRPr="0009232E">
              <w:rPr>
                <w:bCs/>
                <w:sz w:val="20"/>
                <w:szCs w:val="20"/>
                <w:lang w:val="ro-RO"/>
              </w:rPr>
              <w:t xml:space="preserve">frază: „Toate cheltuielile ce vor surveni în urma implimentării proiectului </w:t>
            </w:r>
            <w:r w:rsidR="006F7079" w:rsidRPr="0009232E">
              <w:rPr>
                <w:bCs/>
                <w:sz w:val="20"/>
                <w:szCs w:val="20"/>
                <w:lang w:val="ro-RO"/>
              </w:rPr>
              <w:t>menţionat, urmează a fi suportate în limita mijloacelor bugetare aprobate pentru aceste scopuri</w:t>
            </w:r>
            <w:r w:rsidR="009D35AB" w:rsidRPr="0009232E">
              <w:rPr>
                <w:bCs/>
                <w:sz w:val="20"/>
                <w:szCs w:val="20"/>
                <w:lang w:val="ro-RO"/>
              </w:rPr>
              <w:t xml:space="preserve"> precum şi din alte surse în conformitate cu legislaţia în vigoare</w:t>
            </w:r>
            <w:r w:rsidR="002B38DE" w:rsidRPr="0009232E">
              <w:rPr>
                <w:bCs/>
                <w:sz w:val="20"/>
                <w:szCs w:val="20"/>
                <w:lang w:val="ro-RO"/>
              </w:rPr>
              <w:t>”.</w:t>
            </w:r>
          </w:p>
        </w:tc>
        <w:tc>
          <w:tcPr>
            <w:tcW w:w="6379" w:type="dxa"/>
          </w:tcPr>
          <w:p w:rsidR="00EB03B0" w:rsidRPr="0009232E" w:rsidRDefault="00566564" w:rsidP="00D17797">
            <w:pPr>
              <w:jc w:val="both"/>
              <w:rPr>
                <w:bCs/>
                <w:sz w:val="20"/>
                <w:szCs w:val="20"/>
                <w:lang w:val="en-US"/>
              </w:rPr>
            </w:pPr>
            <w:r w:rsidRPr="0009232E">
              <w:rPr>
                <w:b/>
                <w:bCs/>
                <w:sz w:val="20"/>
                <w:szCs w:val="20"/>
                <w:lang w:val="en-US"/>
              </w:rPr>
              <w:t xml:space="preserve">Se acceptă, </w:t>
            </w:r>
            <w:r w:rsidRPr="0009232E">
              <w:rPr>
                <w:bCs/>
                <w:sz w:val="20"/>
                <w:szCs w:val="20"/>
                <w:lang w:val="en-US"/>
              </w:rPr>
              <w:t xml:space="preserve">a fost realizată </w:t>
            </w:r>
            <w:r w:rsidRPr="0009232E">
              <w:rPr>
                <w:bCs/>
                <w:sz w:val="20"/>
                <w:szCs w:val="20"/>
                <w:lang w:val="ro-RO"/>
              </w:rPr>
              <w:t>suplinirea compartimentului fundamentarea economico-financiară din cadrul notei informative a proiectului, cu următoarea frază: „Toate cheltuielile ce vor surveni în urma implimentării proiectului menţionat, urmează a fi suportate în limita mijloacelor bugetare aprobate pentru aceste scopuri precum şi din alte surse în conformitate cu legislaţia în vigoare”.</w:t>
            </w:r>
          </w:p>
        </w:tc>
      </w:tr>
      <w:tr w:rsidR="00F130FD" w:rsidRPr="00F24B45" w:rsidTr="007E2A11">
        <w:trPr>
          <w:trHeight w:val="500"/>
        </w:trPr>
        <w:tc>
          <w:tcPr>
            <w:tcW w:w="659" w:type="dxa"/>
          </w:tcPr>
          <w:p w:rsidR="00F130FD" w:rsidRPr="0009232E" w:rsidRDefault="00F130FD" w:rsidP="00AE0EC9">
            <w:pPr>
              <w:jc w:val="both"/>
              <w:rPr>
                <w:b/>
                <w:bCs/>
                <w:sz w:val="20"/>
                <w:szCs w:val="20"/>
                <w:lang w:val="en-US"/>
              </w:rPr>
            </w:pPr>
            <w:r w:rsidRPr="0009232E">
              <w:rPr>
                <w:b/>
                <w:bCs/>
                <w:sz w:val="20"/>
                <w:szCs w:val="20"/>
                <w:lang w:val="en-US"/>
              </w:rPr>
              <w:t>IV</w:t>
            </w:r>
          </w:p>
        </w:tc>
        <w:tc>
          <w:tcPr>
            <w:tcW w:w="3104" w:type="dxa"/>
          </w:tcPr>
          <w:p w:rsidR="00F130FD" w:rsidRPr="0009232E" w:rsidRDefault="00F130FD" w:rsidP="00AE0EC9">
            <w:pPr>
              <w:jc w:val="both"/>
              <w:rPr>
                <w:b/>
                <w:bCs/>
                <w:sz w:val="20"/>
                <w:szCs w:val="20"/>
                <w:lang w:val="ro-RO"/>
              </w:rPr>
            </w:pPr>
            <w:r w:rsidRPr="0009232E">
              <w:rPr>
                <w:b/>
                <w:bCs/>
                <w:sz w:val="20"/>
                <w:szCs w:val="20"/>
                <w:lang w:val="ro-RO"/>
              </w:rPr>
              <w:t>Ministerul Economiei (nr. 09/3-3353 din 14.06.2017)</w:t>
            </w:r>
          </w:p>
        </w:tc>
        <w:tc>
          <w:tcPr>
            <w:tcW w:w="5593" w:type="dxa"/>
          </w:tcPr>
          <w:p w:rsidR="00736204" w:rsidRPr="0009232E" w:rsidRDefault="00D957C3" w:rsidP="00EB03B0">
            <w:pPr>
              <w:jc w:val="both"/>
              <w:rPr>
                <w:bCs/>
                <w:sz w:val="20"/>
                <w:szCs w:val="20"/>
                <w:lang w:val="ro-RO"/>
              </w:rPr>
            </w:pPr>
            <w:r w:rsidRPr="0009232E">
              <w:rPr>
                <w:bCs/>
                <w:sz w:val="20"/>
                <w:szCs w:val="20"/>
                <w:lang w:val="ro-RO"/>
              </w:rPr>
              <w:t>- Prin proiectul de Hotărîre de Guvern se urmăreşte transpunerea prevederilor Directivei 92/66/CEE a Consiliului</w:t>
            </w:r>
            <w:r w:rsidR="00C37365" w:rsidRPr="0009232E">
              <w:rPr>
                <w:bCs/>
                <w:sz w:val="20"/>
                <w:szCs w:val="20"/>
                <w:lang w:val="ro-RO"/>
              </w:rPr>
              <w:t xml:space="preserve"> Comunităţii Europene</w:t>
            </w:r>
            <w:r w:rsidR="003C1621" w:rsidRPr="0009232E">
              <w:rPr>
                <w:bCs/>
                <w:sz w:val="20"/>
                <w:szCs w:val="20"/>
                <w:lang w:val="ro-RO"/>
              </w:rPr>
              <w:t xml:space="preserve"> din 14 iunie 1992 de stabilire</w:t>
            </w:r>
            <w:r w:rsidR="00067743" w:rsidRPr="0009232E">
              <w:rPr>
                <w:bCs/>
                <w:sz w:val="20"/>
                <w:szCs w:val="20"/>
                <w:lang w:val="ro-RO"/>
              </w:rPr>
              <w:t xml:space="preserve"> a măsurilor comunitare de combatere a maladiei de Newcastle – angajament asumat prin Acordul de Asociere RM – UE, Anexa XXIV – B, şi prevăzut în planul</w:t>
            </w:r>
            <w:r w:rsidR="009524E5" w:rsidRPr="0009232E">
              <w:rPr>
                <w:bCs/>
                <w:sz w:val="20"/>
                <w:szCs w:val="20"/>
                <w:lang w:val="ro-RO"/>
              </w:rPr>
              <w:t xml:space="preserve"> Naţional de acţiuni pentru implementarea AA/D</w:t>
            </w:r>
            <w:r w:rsidR="00A1310E" w:rsidRPr="0009232E">
              <w:rPr>
                <w:bCs/>
                <w:sz w:val="20"/>
                <w:szCs w:val="20"/>
                <w:lang w:val="ro-RO"/>
              </w:rPr>
              <w:t>CFTA pentru perioada 2017-2019, cu termenul de transpunere – trimestrul IV, 2018.</w:t>
            </w:r>
          </w:p>
          <w:p w:rsidR="00245071" w:rsidRPr="0009232E" w:rsidRDefault="00736204" w:rsidP="00EB03B0">
            <w:pPr>
              <w:jc w:val="both"/>
              <w:rPr>
                <w:bCs/>
                <w:sz w:val="20"/>
                <w:szCs w:val="20"/>
                <w:lang w:val="ro-RO"/>
              </w:rPr>
            </w:pPr>
            <w:r w:rsidRPr="0009232E">
              <w:rPr>
                <w:bCs/>
                <w:sz w:val="20"/>
                <w:szCs w:val="20"/>
                <w:lang w:val="ro-RO"/>
              </w:rPr>
              <w:t xml:space="preserve">cu termenul de transpunere – trimestrul IV, 2018. </w:t>
            </w:r>
            <w:r w:rsidR="00245071" w:rsidRPr="0009232E">
              <w:rPr>
                <w:bCs/>
                <w:sz w:val="20"/>
                <w:szCs w:val="20"/>
                <w:lang w:val="ro-RO"/>
              </w:rPr>
              <w:t xml:space="preserve">În continuare, în scopul conformării la Directiva 92/66/CEE şi întru transpunerea corectă a </w:t>
            </w:r>
            <w:r w:rsidR="00243A0F" w:rsidRPr="0009232E">
              <w:rPr>
                <w:bCs/>
                <w:sz w:val="20"/>
                <w:szCs w:val="20"/>
                <w:lang w:val="ro-RO"/>
              </w:rPr>
              <w:t>prevederilor acesteia, cu referire la punctul 45 din secţiunea a 6-a, Teste rapide de detectare a virusului şi a anticorpilor bolii de Newcastle din proiectul examinat, atragem atenţia</w:t>
            </w:r>
            <w:r w:rsidR="009A0F99" w:rsidRPr="0009232E">
              <w:rPr>
                <w:bCs/>
                <w:sz w:val="20"/>
                <w:szCs w:val="20"/>
                <w:lang w:val="ro-RO"/>
              </w:rPr>
              <w:t xml:space="preserve"> asupra faptului necesităţii modificării sintagmei „</w:t>
            </w:r>
            <w:r w:rsidR="00436DE8" w:rsidRPr="0009232E">
              <w:rPr>
                <w:bCs/>
                <w:sz w:val="20"/>
                <w:szCs w:val="20"/>
                <w:lang w:val="ro-RO"/>
              </w:rPr>
              <w:t xml:space="preserve">testele standard de inhibare a heaglutinării descrise în secţiunea a 7-a din </w:t>
            </w:r>
            <w:r w:rsidR="00436DE8" w:rsidRPr="0009232E">
              <w:rPr>
                <w:bCs/>
                <w:sz w:val="20"/>
                <w:szCs w:val="20"/>
                <w:lang w:val="ro-RO"/>
              </w:rPr>
              <w:lastRenderedPageBreak/>
              <w:t>prezentul capitol</w:t>
            </w:r>
            <w:r w:rsidR="009A0F99" w:rsidRPr="0009232E">
              <w:rPr>
                <w:bCs/>
                <w:sz w:val="20"/>
                <w:szCs w:val="20"/>
                <w:lang w:val="ro-RO"/>
              </w:rPr>
              <w:t>”</w:t>
            </w:r>
            <w:r w:rsidR="00583ACB" w:rsidRPr="0009232E">
              <w:rPr>
                <w:bCs/>
                <w:sz w:val="20"/>
                <w:szCs w:val="20"/>
                <w:lang w:val="ro-RO"/>
              </w:rPr>
              <w:t xml:space="preserve"> prin sintagma „</w:t>
            </w:r>
            <w:r w:rsidR="007063C2" w:rsidRPr="0009232E">
              <w:rPr>
                <w:bCs/>
                <w:sz w:val="20"/>
                <w:szCs w:val="20"/>
                <w:lang w:val="ro-RO"/>
              </w:rPr>
              <w:t>testele standard de inhibare a hemaglutinării descrise</w:t>
            </w:r>
            <w:r w:rsidR="000025F1" w:rsidRPr="0009232E">
              <w:rPr>
                <w:bCs/>
                <w:sz w:val="20"/>
                <w:szCs w:val="20"/>
                <w:lang w:val="ro-RO"/>
              </w:rPr>
              <w:t xml:space="preserve"> descrise în secţiunea a 8-a din prezentul capitol</w:t>
            </w:r>
            <w:r w:rsidR="00583ACB" w:rsidRPr="0009232E">
              <w:rPr>
                <w:bCs/>
                <w:sz w:val="20"/>
                <w:szCs w:val="20"/>
                <w:lang w:val="ro-RO"/>
              </w:rPr>
              <w:t>”</w:t>
            </w:r>
            <w:r w:rsidR="007063C2" w:rsidRPr="0009232E">
              <w:rPr>
                <w:bCs/>
                <w:sz w:val="20"/>
                <w:szCs w:val="20"/>
                <w:lang w:val="ro-RO"/>
              </w:rPr>
              <w:t>.</w:t>
            </w:r>
          </w:p>
          <w:p w:rsidR="005D2655" w:rsidRPr="0009232E" w:rsidRDefault="005D2655" w:rsidP="005C52CF">
            <w:pPr>
              <w:jc w:val="both"/>
              <w:rPr>
                <w:bCs/>
                <w:sz w:val="20"/>
                <w:szCs w:val="20"/>
                <w:lang w:val="ro-RO"/>
              </w:rPr>
            </w:pPr>
            <w:r w:rsidRPr="0009232E">
              <w:rPr>
                <w:bCs/>
                <w:sz w:val="20"/>
                <w:szCs w:val="20"/>
                <w:lang w:val="ro-RO"/>
              </w:rPr>
              <w:t xml:space="preserve">- La fel, urmează a fi modificat şi </w:t>
            </w:r>
            <w:r w:rsidR="005C52CF" w:rsidRPr="0009232E">
              <w:rPr>
                <w:bCs/>
                <w:sz w:val="20"/>
                <w:szCs w:val="20"/>
                <w:lang w:val="ro-RO"/>
              </w:rPr>
              <w:t>subpun</w:t>
            </w:r>
            <w:r w:rsidRPr="0009232E">
              <w:rPr>
                <w:bCs/>
                <w:sz w:val="20"/>
                <w:szCs w:val="20"/>
                <w:lang w:val="ro-RO"/>
              </w:rPr>
              <w:t>ctul 10) din secţiunea a 8-a</w:t>
            </w:r>
            <w:r w:rsidR="000551D8" w:rsidRPr="0009232E">
              <w:rPr>
                <w:bCs/>
                <w:sz w:val="20"/>
                <w:szCs w:val="20"/>
                <w:lang w:val="ro-RO"/>
              </w:rPr>
              <w:t>, în scopul conformării asestuia cu prevederile</w:t>
            </w:r>
            <w:r w:rsidR="005A4792" w:rsidRPr="0009232E">
              <w:rPr>
                <w:bCs/>
                <w:sz w:val="20"/>
                <w:szCs w:val="20"/>
                <w:lang w:val="ro-RO"/>
              </w:rPr>
              <w:t xml:space="preserve"> Cap</w:t>
            </w:r>
            <w:r w:rsidR="00480D2F" w:rsidRPr="0009232E">
              <w:rPr>
                <w:bCs/>
                <w:sz w:val="20"/>
                <w:szCs w:val="20"/>
                <w:lang w:val="ro-RO"/>
              </w:rPr>
              <w:t>tolului 6, punctul j) din Directiva 92/66/CEE. Astfel, sugerăm înlocuirea sintagmei “</w:t>
            </w:r>
            <w:r w:rsidR="002C656A" w:rsidRPr="0009232E">
              <w:rPr>
                <w:bCs/>
                <w:sz w:val="20"/>
                <w:szCs w:val="20"/>
                <w:lang w:val="ro-RO"/>
              </w:rPr>
              <w:t>obţinerea unui titru mai mic de 23 pentru patru unităţi hemaglutinante sau de 22 pentru pentru opt unităţi hemaglutinante</w:t>
            </w:r>
            <w:r w:rsidR="00480D2F" w:rsidRPr="0009232E">
              <w:rPr>
                <w:bCs/>
                <w:sz w:val="20"/>
                <w:szCs w:val="20"/>
                <w:lang w:val="ro-RO"/>
              </w:rPr>
              <w:t xml:space="preserve">” </w:t>
            </w:r>
            <w:r w:rsidR="00BA3E39" w:rsidRPr="0009232E">
              <w:rPr>
                <w:bCs/>
                <w:sz w:val="20"/>
                <w:szCs w:val="20"/>
                <w:lang w:val="ro-RO"/>
              </w:rPr>
              <w:t xml:space="preserve">cu expresia </w:t>
            </w:r>
            <w:r w:rsidR="00480D2F" w:rsidRPr="0009232E">
              <w:rPr>
                <w:bCs/>
                <w:sz w:val="20"/>
                <w:szCs w:val="20"/>
                <w:lang w:val="ro-RO"/>
              </w:rPr>
              <w:t>“</w:t>
            </w:r>
            <w:r w:rsidR="00EB696A" w:rsidRPr="0009232E">
              <w:rPr>
                <w:bCs/>
                <w:sz w:val="20"/>
                <w:szCs w:val="20"/>
                <w:lang w:val="ro-RO"/>
              </w:rPr>
              <w:t>obţinerea unui titru mai mic de 2</w:t>
            </w:r>
            <w:r w:rsidR="00EB696A" w:rsidRPr="0009232E">
              <w:rPr>
                <w:bCs/>
                <w:sz w:val="20"/>
                <w:szCs w:val="20"/>
                <w:vertAlign w:val="superscript"/>
                <w:lang w:val="ro-RO"/>
              </w:rPr>
              <w:t>3</w:t>
            </w:r>
            <w:r w:rsidR="00EB696A" w:rsidRPr="0009232E">
              <w:rPr>
                <w:bCs/>
                <w:sz w:val="20"/>
                <w:szCs w:val="20"/>
                <w:lang w:val="ro-RO"/>
              </w:rPr>
              <w:t xml:space="preserve"> pentru patru unităţi hemaglutinante sau de 2</w:t>
            </w:r>
            <w:r w:rsidR="00EB696A" w:rsidRPr="0009232E">
              <w:rPr>
                <w:bCs/>
                <w:sz w:val="20"/>
                <w:szCs w:val="20"/>
                <w:vertAlign w:val="superscript"/>
                <w:lang w:val="ro-RO"/>
              </w:rPr>
              <w:t>2</w:t>
            </w:r>
            <w:r w:rsidR="00EB696A" w:rsidRPr="0009232E">
              <w:rPr>
                <w:bCs/>
                <w:sz w:val="20"/>
                <w:szCs w:val="20"/>
                <w:lang w:val="ro-RO"/>
              </w:rPr>
              <w:t xml:space="preserve"> pentru opt unităţi hemaglutinante</w:t>
            </w:r>
            <w:r w:rsidR="00480D2F" w:rsidRPr="0009232E">
              <w:rPr>
                <w:bCs/>
                <w:sz w:val="20"/>
                <w:szCs w:val="20"/>
                <w:lang w:val="ro-RO"/>
              </w:rPr>
              <w:t>”.</w:t>
            </w:r>
          </w:p>
          <w:p w:rsidR="00393748" w:rsidRPr="0009232E" w:rsidRDefault="00393748" w:rsidP="005C52CF">
            <w:pPr>
              <w:jc w:val="both"/>
              <w:rPr>
                <w:bCs/>
                <w:sz w:val="20"/>
                <w:szCs w:val="20"/>
                <w:lang w:val="ro-RO"/>
              </w:rPr>
            </w:pPr>
          </w:p>
        </w:tc>
        <w:tc>
          <w:tcPr>
            <w:tcW w:w="6379" w:type="dxa"/>
          </w:tcPr>
          <w:p w:rsidR="00275389" w:rsidRPr="0009232E" w:rsidRDefault="00716669" w:rsidP="00275389">
            <w:pPr>
              <w:jc w:val="both"/>
              <w:rPr>
                <w:bCs/>
                <w:sz w:val="20"/>
                <w:szCs w:val="20"/>
                <w:lang w:val="ro-RO"/>
              </w:rPr>
            </w:pPr>
            <w:r w:rsidRPr="0009232E">
              <w:rPr>
                <w:b/>
                <w:bCs/>
                <w:sz w:val="20"/>
                <w:szCs w:val="20"/>
                <w:lang w:val="en-US"/>
              </w:rPr>
              <w:lastRenderedPageBreak/>
              <w:t>Se acceptă,</w:t>
            </w:r>
            <w:r w:rsidR="00275389" w:rsidRPr="0009232E">
              <w:rPr>
                <w:b/>
                <w:bCs/>
                <w:sz w:val="20"/>
                <w:szCs w:val="20"/>
                <w:lang w:val="en-US"/>
              </w:rPr>
              <w:t xml:space="preserve"> </w:t>
            </w:r>
            <w:r w:rsidR="00275389" w:rsidRPr="0009232E">
              <w:rPr>
                <w:bCs/>
                <w:sz w:val="20"/>
                <w:szCs w:val="20"/>
                <w:lang w:val="en-US"/>
              </w:rPr>
              <w:t xml:space="preserve">la </w:t>
            </w:r>
            <w:r w:rsidRPr="0009232E">
              <w:rPr>
                <w:bCs/>
                <w:sz w:val="20"/>
                <w:szCs w:val="20"/>
                <w:lang w:val="en-US"/>
              </w:rPr>
              <w:t>pct. 45 din Secţiunea a 6-a din proiectul Hotărîrii de Guvern</w:t>
            </w:r>
            <w:r w:rsidR="00275389" w:rsidRPr="0009232E">
              <w:rPr>
                <w:bCs/>
                <w:sz w:val="20"/>
                <w:szCs w:val="20"/>
                <w:lang w:val="en-US"/>
              </w:rPr>
              <w:t xml:space="preserve"> </w:t>
            </w:r>
            <w:r w:rsidR="00275389" w:rsidRPr="0009232E">
              <w:rPr>
                <w:bCs/>
                <w:sz w:val="20"/>
                <w:szCs w:val="20"/>
                <w:lang w:val="ro-RO"/>
              </w:rPr>
              <w:t>sintagma „testele standard de inhibare a heaglutinării descrise în secţiunea a 7-a din prezentul capitol”</w:t>
            </w:r>
            <w:r w:rsidR="00275389" w:rsidRPr="0009232E">
              <w:rPr>
                <w:bCs/>
                <w:sz w:val="20"/>
                <w:szCs w:val="20"/>
                <w:lang w:val="en-US"/>
              </w:rPr>
              <w:t xml:space="preserve"> a fost substituită cu </w:t>
            </w:r>
            <w:r w:rsidR="00275389" w:rsidRPr="0009232E">
              <w:rPr>
                <w:bCs/>
                <w:sz w:val="20"/>
                <w:szCs w:val="20"/>
                <w:lang w:val="ro-RO"/>
              </w:rPr>
              <w:t>sintagma „testele standard de inhibare a hemaglutinării descrise descrise în secţiunea a 8-a din prezentul capitol”.</w:t>
            </w:r>
          </w:p>
          <w:p w:rsidR="00716669" w:rsidRPr="0009232E" w:rsidRDefault="00716669" w:rsidP="00D17797">
            <w:pPr>
              <w:jc w:val="both"/>
              <w:rPr>
                <w:b/>
                <w:bCs/>
                <w:sz w:val="20"/>
                <w:szCs w:val="20"/>
                <w:lang w:val="ro-RO"/>
              </w:rPr>
            </w:pPr>
          </w:p>
          <w:p w:rsidR="009B56F7" w:rsidRPr="0009232E" w:rsidRDefault="009B56F7" w:rsidP="00D17797">
            <w:pPr>
              <w:jc w:val="both"/>
              <w:rPr>
                <w:b/>
                <w:bCs/>
                <w:sz w:val="20"/>
                <w:szCs w:val="20"/>
                <w:lang w:val="ro-RO"/>
              </w:rPr>
            </w:pPr>
          </w:p>
          <w:p w:rsidR="009B56F7" w:rsidRPr="0009232E" w:rsidRDefault="009B56F7" w:rsidP="00D17797">
            <w:pPr>
              <w:jc w:val="both"/>
              <w:rPr>
                <w:b/>
                <w:bCs/>
                <w:sz w:val="20"/>
                <w:szCs w:val="20"/>
                <w:lang w:val="ro-RO"/>
              </w:rPr>
            </w:pPr>
          </w:p>
          <w:p w:rsidR="009B56F7" w:rsidRPr="0009232E" w:rsidRDefault="009B56F7" w:rsidP="00D17797">
            <w:pPr>
              <w:jc w:val="both"/>
              <w:rPr>
                <w:b/>
                <w:bCs/>
                <w:sz w:val="20"/>
                <w:szCs w:val="20"/>
                <w:lang w:val="ro-RO"/>
              </w:rPr>
            </w:pPr>
          </w:p>
          <w:p w:rsidR="009B56F7" w:rsidRPr="0009232E" w:rsidRDefault="009B56F7" w:rsidP="00D17797">
            <w:pPr>
              <w:jc w:val="both"/>
              <w:rPr>
                <w:b/>
                <w:bCs/>
                <w:sz w:val="20"/>
                <w:szCs w:val="20"/>
                <w:lang w:val="ro-RO"/>
              </w:rPr>
            </w:pPr>
          </w:p>
          <w:p w:rsidR="00442BC9" w:rsidRPr="0009232E" w:rsidRDefault="00442BC9" w:rsidP="00D17797">
            <w:pPr>
              <w:jc w:val="both"/>
              <w:rPr>
                <w:b/>
                <w:bCs/>
                <w:sz w:val="20"/>
                <w:szCs w:val="20"/>
                <w:lang w:val="ro-RO"/>
              </w:rPr>
            </w:pPr>
          </w:p>
          <w:p w:rsidR="00442BC9" w:rsidRPr="0009232E" w:rsidRDefault="00442BC9" w:rsidP="00D17797">
            <w:pPr>
              <w:jc w:val="both"/>
              <w:rPr>
                <w:b/>
                <w:bCs/>
                <w:sz w:val="20"/>
                <w:szCs w:val="20"/>
                <w:lang w:val="ro-RO"/>
              </w:rPr>
            </w:pPr>
          </w:p>
          <w:p w:rsidR="00442BC9" w:rsidRPr="0009232E" w:rsidRDefault="00442BC9" w:rsidP="00D17797">
            <w:pPr>
              <w:jc w:val="both"/>
              <w:rPr>
                <w:b/>
                <w:bCs/>
                <w:sz w:val="20"/>
                <w:szCs w:val="20"/>
                <w:lang w:val="ro-RO"/>
              </w:rPr>
            </w:pPr>
          </w:p>
          <w:p w:rsidR="00310A29" w:rsidRPr="0009232E" w:rsidRDefault="00310A29" w:rsidP="00D17797">
            <w:pPr>
              <w:jc w:val="both"/>
              <w:rPr>
                <w:b/>
                <w:bCs/>
                <w:sz w:val="20"/>
                <w:szCs w:val="20"/>
                <w:lang w:val="ro-RO"/>
              </w:rPr>
            </w:pPr>
          </w:p>
          <w:p w:rsidR="00863465" w:rsidRPr="0009232E" w:rsidRDefault="00863465" w:rsidP="00D17797">
            <w:pPr>
              <w:jc w:val="both"/>
              <w:rPr>
                <w:b/>
                <w:bCs/>
                <w:sz w:val="20"/>
                <w:szCs w:val="20"/>
                <w:lang w:val="ro-RO"/>
              </w:rPr>
            </w:pPr>
          </w:p>
          <w:p w:rsidR="006529C4" w:rsidRPr="0009232E" w:rsidRDefault="006529C4" w:rsidP="00D17797">
            <w:pPr>
              <w:jc w:val="both"/>
              <w:rPr>
                <w:b/>
                <w:bCs/>
                <w:sz w:val="20"/>
                <w:szCs w:val="20"/>
                <w:lang w:val="ro-RO"/>
              </w:rPr>
            </w:pPr>
          </w:p>
          <w:p w:rsidR="006529C4" w:rsidRPr="0009232E" w:rsidRDefault="006529C4" w:rsidP="00D17797">
            <w:pPr>
              <w:jc w:val="both"/>
              <w:rPr>
                <w:b/>
                <w:bCs/>
                <w:sz w:val="20"/>
                <w:szCs w:val="20"/>
                <w:lang w:val="ro-RO"/>
              </w:rPr>
            </w:pPr>
          </w:p>
          <w:p w:rsidR="006529C4" w:rsidRPr="0009232E" w:rsidRDefault="006529C4" w:rsidP="00D17797">
            <w:pPr>
              <w:jc w:val="both"/>
              <w:rPr>
                <w:b/>
                <w:bCs/>
                <w:sz w:val="20"/>
                <w:szCs w:val="20"/>
                <w:lang w:val="ro-RO"/>
              </w:rPr>
            </w:pPr>
          </w:p>
          <w:p w:rsidR="009B56F7" w:rsidRPr="0009232E" w:rsidRDefault="009B56F7" w:rsidP="00401F07">
            <w:pPr>
              <w:jc w:val="both"/>
              <w:rPr>
                <w:bCs/>
                <w:sz w:val="20"/>
                <w:szCs w:val="20"/>
                <w:lang w:val="ro-RO"/>
              </w:rPr>
            </w:pPr>
            <w:r w:rsidRPr="0009232E">
              <w:rPr>
                <w:b/>
                <w:bCs/>
                <w:sz w:val="20"/>
                <w:szCs w:val="20"/>
                <w:lang w:val="ro-RO"/>
              </w:rPr>
              <w:t xml:space="preserve">Se acceptă, </w:t>
            </w:r>
            <w:r w:rsidRPr="0009232E">
              <w:rPr>
                <w:bCs/>
                <w:sz w:val="20"/>
                <w:szCs w:val="20"/>
                <w:lang w:val="ro-RO"/>
              </w:rPr>
              <w:t xml:space="preserve">la </w:t>
            </w:r>
            <w:r w:rsidR="005C52CF" w:rsidRPr="0009232E">
              <w:rPr>
                <w:bCs/>
                <w:sz w:val="20"/>
                <w:szCs w:val="20"/>
                <w:lang w:val="ro-RO"/>
              </w:rPr>
              <w:t>sub</w:t>
            </w:r>
            <w:r w:rsidRPr="0009232E">
              <w:rPr>
                <w:bCs/>
                <w:sz w:val="20"/>
                <w:szCs w:val="20"/>
                <w:lang w:val="ro-RO"/>
              </w:rPr>
              <w:t>pct. 10)</w:t>
            </w:r>
            <w:r w:rsidR="005C52CF" w:rsidRPr="0009232E">
              <w:rPr>
                <w:bCs/>
                <w:sz w:val="20"/>
                <w:szCs w:val="20"/>
                <w:lang w:val="ro-RO"/>
              </w:rPr>
              <w:t xml:space="preserve"> din Secţiunea a 8-a</w:t>
            </w:r>
            <w:r w:rsidR="00A54F32" w:rsidRPr="0009232E">
              <w:rPr>
                <w:bCs/>
                <w:sz w:val="20"/>
                <w:szCs w:val="20"/>
                <w:lang w:val="ro-RO"/>
              </w:rPr>
              <w:t xml:space="preserve"> din proiectul Hotărîrii de Guvern sintagma obţinerea unui titru mai mic de 23 pentru patru unităţi hemaglutinante sau de 22 pentru pentru opt unităţi hemaglutinante” a fost înlocuită cu </w:t>
            </w:r>
            <w:r w:rsidR="00401F07" w:rsidRPr="0009232E">
              <w:rPr>
                <w:bCs/>
                <w:sz w:val="20"/>
                <w:szCs w:val="20"/>
                <w:lang w:val="ro-RO"/>
              </w:rPr>
              <w:t>sintagma</w:t>
            </w:r>
            <w:r w:rsidR="00A54F32" w:rsidRPr="0009232E">
              <w:rPr>
                <w:bCs/>
                <w:sz w:val="20"/>
                <w:szCs w:val="20"/>
                <w:lang w:val="ro-RO"/>
              </w:rPr>
              <w:t xml:space="preserve"> “obţinerea unui titru mai mic de 2</w:t>
            </w:r>
            <w:r w:rsidR="00A54F32" w:rsidRPr="0009232E">
              <w:rPr>
                <w:bCs/>
                <w:sz w:val="20"/>
                <w:szCs w:val="20"/>
                <w:vertAlign w:val="superscript"/>
                <w:lang w:val="ro-RO"/>
              </w:rPr>
              <w:t>3</w:t>
            </w:r>
            <w:r w:rsidR="00A54F32" w:rsidRPr="0009232E">
              <w:rPr>
                <w:bCs/>
                <w:sz w:val="20"/>
                <w:szCs w:val="20"/>
                <w:lang w:val="ro-RO"/>
              </w:rPr>
              <w:t xml:space="preserve"> pentru patru unităţi hemaglutinante sau de 2</w:t>
            </w:r>
            <w:r w:rsidR="00A54F32" w:rsidRPr="0009232E">
              <w:rPr>
                <w:bCs/>
                <w:sz w:val="20"/>
                <w:szCs w:val="20"/>
                <w:vertAlign w:val="superscript"/>
                <w:lang w:val="ro-RO"/>
              </w:rPr>
              <w:t>2</w:t>
            </w:r>
            <w:r w:rsidR="00A54F32" w:rsidRPr="0009232E">
              <w:rPr>
                <w:bCs/>
                <w:sz w:val="20"/>
                <w:szCs w:val="20"/>
                <w:lang w:val="ro-RO"/>
              </w:rPr>
              <w:t xml:space="preserve"> pentru opt unităţi hemaglutinante”.</w:t>
            </w:r>
          </w:p>
        </w:tc>
      </w:tr>
      <w:tr w:rsidR="00795F16" w:rsidRPr="00F24B45" w:rsidTr="007E2A11">
        <w:trPr>
          <w:trHeight w:val="274"/>
        </w:trPr>
        <w:tc>
          <w:tcPr>
            <w:tcW w:w="659" w:type="dxa"/>
          </w:tcPr>
          <w:p w:rsidR="00795F16" w:rsidRPr="0009232E" w:rsidRDefault="00795F16" w:rsidP="00AE0EC9">
            <w:pPr>
              <w:jc w:val="both"/>
              <w:rPr>
                <w:b/>
                <w:bCs/>
                <w:sz w:val="20"/>
                <w:szCs w:val="20"/>
                <w:lang w:val="ro-RO"/>
              </w:rPr>
            </w:pPr>
            <w:r w:rsidRPr="0009232E">
              <w:rPr>
                <w:b/>
                <w:bCs/>
                <w:sz w:val="20"/>
                <w:szCs w:val="20"/>
                <w:lang w:val="ro-RO"/>
              </w:rPr>
              <w:lastRenderedPageBreak/>
              <w:t>V</w:t>
            </w:r>
          </w:p>
        </w:tc>
        <w:tc>
          <w:tcPr>
            <w:tcW w:w="3104" w:type="dxa"/>
          </w:tcPr>
          <w:p w:rsidR="00795F16" w:rsidRPr="0009232E" w:rsidRDefault="00795F16" w:rsidP="00AE0EC9">
            <w:pPr>
              <w:jc w:val="both"/>
              <w:rPr>
                <w:b/>
                <w:bCs/>
                <w:sz w:val="20"/>
                <w:szCs w:val="20"/>
                <w:lang w:val="ro-RO"/>
              </w:rPr>
            </w:pPr>
            <w:r w:rsidRPr="0009232E">
              <w:rPr>
                <w:b/>
                <w:bCs/>
                <w:sz w:val="20"/>
                <w:szCs w:val="20"/>
                <w:lang w:val="ro-RO"/>
              </w:rPr>
              <w:t>Ministerul Sănătăţii (nr. 01-9/876 din 13.06.2017)</w:t>
            </w:r>
          </w:p>
        </w:tc>
        <w:tc>
          <w:tcPr>
            <w:tcW w:w="5593" w:type="dxa"/>
          </w:tcPr>
          <w:p w:rsidR="009621FD" w:rsidRPr="0009232E" w:rsidRDefault="0023225D" w:rsidP="00EB03B0">
            <w:pPr>
              <w:jc w:val="both"/>
              <w:rPr>
                <w:bCs/>
                <w:sz w:val="20"/>
                <w:szCs w:val="20"/>
                <w:lang w:val="en-US"/>
              </w:rPr>
            </w:pPr>
            <w:r w:rsidRPr="0009232E">
              <w:rPr>
                <w:bCs/>
                <w:sz w:val="20"/>
                <w:szCs w:val="20"/>
                <w:lang w:val="ro-RO"/>
              </w:rPr>
              <w:t xml:space="preserve">- </w:t>
            </w:r>
            <w:r w:rsidR="009621FD" w:rsidRPr="0009232E">
              <w:rPr>
                <w:bCs/>
                <w:sz w:val="20"/>
                <w:szCs w:val="20"/>
                <w:lang w:val="ro-RO"/>
              </w:rPr>
              <w:t>La capitolul II, pct. 5</w:t>
            </w:r>
            <w:r w:rsidR="009621FD" w:rsidRPr="0009232E">
              <w:rPr>
                <w:bCs/>
                <w:sz w:val="20"/>
                <w:szCs w:val="20"/>
                <w:lang w:val="en-US"/>
              </w:rPr>
              <w:t>:</w:t>
            </w:r>
          </w:p>
          <w:p w:rsidR="00A15FF0" w:rsidRPr="0009232E" w:rsidRDefault="007D44D1" w:rsidP="00EB03B0">
            <w:pPr>
              <w:jc w:val="both"/>
              <w:rPr>
                <w:bCs/>
                <w:sz w:val="20"/>
                <w:szCs w:val="20"/>
                <w:lang w:val="ro-RO"/>
              </w:rPr>
            </w:pPr>
            <w:r w:rsidRPr="0009232E">
              <w:rPr>
                <w:bCs/>
                <w:sz w:val="20"/>
                <w:szCs w:val="20"/>
                <w:lang w:val="ro-RO"/>
              </w:rPr>
              <w:t>În subpct. d) – după sintagma „filtru sanitar” de exclus cuvîntul „antiepizootică”</w:t>
            </w:r>
            <w:r w:rsidR="000623BE" w:rsidRPr="0009232E">
              <w:rPr>
                <w:bCs/>
                <w:sz w:val="20"/>
                <w:szCs w:val="20"/>
                <w:lang w:val="ro-RO"/>
              </w:rPr>
              <w:t xml:space="preserve"> </w:t>
            </w:r>
            <w:r w:rsidR="00A15FF0" w:rsidRPr="0009232E">
              <w:rPr>
                <w:bCs/>
                <w:sz w:val="20"/>
                <w:szCs w:val="20"/>
                <w:lang w:val="ro-RO"/>
              </w:rPr>
              <w:t>şi de inclus sintagma „</w:t>
            </w:r>
            <w:r w:rsidR="00F14F98" w:rsidRPr="0009232E">
              <w:rPr>
                <w:bCs/>
                <w:sz w:val="20"/>
                <w:szCs w:val="20"/>
                <w:lang w:val="ro-RO"/>
              </w:rPr>
              <w:t>individuală, asigurînd folosiorea corectă</w:t>
            </w:r>
            <w:r w:rsidR="00CF1103" w:rsidRPr="0009232E">
              <w:rPr>
                <w:bCs/>
                <w:sz w:val="20"/>
                <w:szCs w:val="20"/>
                <w:lang w:val="ro-RO"/>
              </w:rPr>
              <w:t xml:space="preserve"> şi dezinfectarea periodică a acestuia</w:t>
            </w:r>
            <w:r w:rsidR="00A15FF0" w:rsidRPr="0009232E">
              <w:rPr>
                <w:bCs/>
                <w:sz w:val="20"/>
                <w:szCs w:val="20"/>
                <w:lang w:val="ro-RO"/>
              </w:rPr>
              <w:t>”;</w:t>
            </w:r>
          </w:p>
          <w:p w:rsidR="00393748" w:rsidRPr="0009232E" w:rsidRDefault="00393748" w:rsidP="00EB03B0">
            <w:pPr>
              <w:jc w:val="both"/>
              <w:rPr>
                <w:bCs/>
                <w:sz w:val="20"/>
                <w:szCs w:val="20"/>
                <w:lang w:val="ro-RO"/>
              </w:rPr>
            </w:pPr>
          </w:p>
          <w:p w:rsidR="006529C4" w:rsidRPr="0009232E" w:rsidRDefault="006529C4" w:rsidP="00EB03B0">
            <w:pPr>
              <w:jc w:val="both"/>
              <w:rPr>
                <w:bCs/>
                <w:sz w:val="20"/>
                <w:szCs w:val="20"/>
                <w:lang w:val="ro-RO"/>
              </w:rPr>
            </w:pPr>
          </w:p>
          <w:p w:rsidR="00E14E75" w:rsidRPr="0009232E" w:rsidRDefault="00E14E75" w:rsidP="00EB03B0">
            <w:pPr>
              <w:jc w:val="both"/>
              <w:rPr>
                <w:bCs/>
                <w:sz w:val="20"/>
                <w:szCs w:val="20"/>
                <w:lang w:val="en-US"/>
              </w:rPr>
            </w:pPr>
            <w:r w:rsidRPr="0009232E">
              <w:rPr>
                <w:bCs/>
                <w:sz w:val="20"/>
                <w:szCs w:val="20"/>
                <w:lang w:val="ro-RO"/>
              </w:rPr>
              <w:t xml:space="preserve">- De inclus un nou subpunct în redacţia </w:t>
            </w:r>
            <w:r w:rsidRPr="0009232E">
              <w:rPr>
                <w:bCs/>
                <w:sz w:val="20"/>
                <w:szCs w:val="20"/>
                <w:lang w:val="en-US"/>
              </w:rPr>
              <w:t>“</w:t>
            </w:r>
            <w:r w:rsidR="008577AB" w:rsidRPr="0009232E">
              <w:rPr>
                <w:bCs/>
                <w:sz w:val="20"/>
                <w:szCs w:val="20"/>
                <w:lang w:val="ro-RO"/>
              </w:rPr>
              <w:t>Controlul asigurării protecţiei muncii personalului exploataţiei, de asemenea protecţiei exploataţiei de accesul animalelor şi păsărilor</w:t>
            </w:r>
            <w:r w:rsidR="00AE79BF" w:rsidRPr="0009232E">
              <w:rPr>
                <w:bCs/>
                <w:sz w:val="20"/>
                <w:szCs w:val="20"/>
                <w:lang w:val="ro-RO"/>
              </w:rPr>
              <w:t xml:space="preserve"> domestice</w:t>
            </w:r>
            <w:r w:rsidR="003864F9" w:rsidRPr="0009232E">
              <w:rPr>
                <w:bCs/>
                <w:sz w:val="20"/>
                <w:szCs w:val="20"/>
                <w:lang w:val="ro-RO"/>
              </w:rPr>
              <w:t xml:space="preserve"> şi sălbatice, rozătoarelor cu propuneri spre realizare, la necesitate, a măsurilor respective</w:t>
            </w:r>
            <w:r w:rsidRPr="0009232E">
              <w:rPr>
                <w:bCs/>
                <w:sz w:val="20"/>
                <w:szCs w:val="20"/>
                <w:lang w:val="en-US"/>
              </w:rPr>
              <w:t>”.</w:t>
            </w:r>
          </w:p>
          <w:p w:rsidR="00393748" w:rsidRPr="0009232E" w:rsidRDefault="00393748" w:rsidP="00EB03B0">
            <w:pPr>
              <w:jc w:val="both"/>
              <w:rPr>
                <w:bCs/>
                <w:sz w:val="20"/>
                <w:szCs w:val="20"/>
                <w:lang w:val="en-US"/>
              </w:rPr>
            </w:pPr>
          </w:p>
        </w:tc>
        <w:tc>
          <w:tcPr>
            <w:tcW w:w="6379" w:type="dxa"/>
          </w:tcPr>
          <w:p w:rsidR="009621FD" w:rsidRPr="0009232E" w:rsidRDefault="00E14E75" w:rsidP="009621FD">
            <w:pPr>
              <w:jc w:val="both"/>
              <w:rPr>
                <w:bCs/>
                <w:sz w:val="20"/>
                <w:szCs w:val="20"/>
                <w:lang w:val="ro-RO"/>
              </w:rPr>
            </w:pPr>
            <w:r w:rsidRPr="0009232E">
              <w:rPr>
                <w:b/>
                <w:bCs/>
                <w:sz w:val="20"/>
                <w:szCs w:val="20"/>
                <w:lang w:val="ro-RO"/>
              </w:rPr>
              <w:t xml:space="preserve">Se acceptă, </w:t>
            </w:r>
            <w:r w:rsidR="009621FD" w:rsidRPr="0009232E">
              <w:rPr>
                <w:bCs/>
                <w:sz w:val="20"/>
                <w:szCs w:val="20"/>
                <w:lang w:val="ro-RO"/>
              </w:rPr>
              <w:t>la capitolul II, pct. 5</w:t>
            </w:r>
            <w:r w:rsidR="009621FD" w:rsidRPr="0009232E">
              <w:rPr>
                <w:bCs/>
                <w:sz w:val="20"/>
                <w:szCs w:val="20"/>
                <w:lang w:val="en-US"/>
              </w:rPr>
              <w:t xml:space="preserve">, </w:t>
            </w:r>
            <w:r w:rsidR="009621FD" w:rsidRPr="0009232E">
              <w:rPr>
                <w:bCs/>
                <w:sz w:val="20"/>
                <w:szCs w:val="20"/>
                <w:lang w:val="ro-RO"/>
              </w:rPr>
              <w:t xml:space="preserve">în subpct. d) – după sintagma „filtru sanitar” </w:t>
            </w:r>
            <w:r w:rsidR="002B6EA1" w:rsidRPr="0009232E">
              <w:rPr>
                <w:bCs/>
                <w:sz w:val="20"/>
                <w:szCs w:val="20"/>
                <w:lang w:val="ro-RO"/>
              </w:rPr>
              <w:t>a fost</w:t>
            </w:r>
            <w:r w:rsidR="009621FD" w:rsidRPr="0009232E">
              <w:rPr>
                <w:bCs/>
                <w:sz w:val="20"/>
                <w:szCs w:val="20"/>
                <w:lang w:val="ro-RO"/>
              </w:rPr>
              <w:t xml:space="preserve"> exclus cuvîntul „antiepizootică” şi </w:t>
            </w:r>
            <w:r w:rsidR="002B6EA1" w:rsidRPr="0009232E">
              <w:rPr>
                <w:bCs/>
                <w:sz w:val="20"/>
                <w:szCs w:val="20"/>
                <w:lang w:val="ro-RO"/>
              </w:rPr>
              <w:t>a fost</w:t>
            </w:r>
            <w:r w:rsidR="009621FD" w:rsidRPr="0009232E">
              <w:rPr>
                <w:bCs/>
                <w:sz w:val="20"/>
                <w:szCs w:val="20"/>
                <w:lang w:val="ro-RO"/>
              </w:rPr>
              <w:t xml:space="preserve"> inclus sintagma „individuală, asigurînd folosiorea corectă şi dezinfectarea periodică a acestuia”;</w:t>
            </w:r>
          </w:p>
          <w:p w:rsidR="00393748" w:rsidRPr="0009232E" w:rsidRDefault="00393748" w:rsidP="009621FD">
            <w:pPr>
              <w:jc w:val="both"/>
              <w:rPr>
                <w:bCs/>
                <w:sz w:val="20"/>
                <w:szCs w:val="20"/>
                <w:lang w:val="ro-RO"/>
              </w:rPr>
            </w:pPr>
          </w:p>
          <w:p w:rsidR="006529C4" w:rsidRPr="0009232E" w:rsidRDefault="006529C4" w:rsidP="009621FD">
            <w:pPr>
              <w:jc w:val="both"/>
              <w:rPr>
                <w:bCs/>
                <w:sz w:val="20"/>
                <w:szCs w:val="20"/>
                <w:lang w:val="en-US"/>
              </w:rPr>
            </w:pPr>
          </w:p>
          <w:p w:rsidR="00795F16" w:rsidRPr="0009232E" w:rsidRDefault="006F7FCB" w:rsidP="00275389">
            <w:pPr>
              <w:jc w:val="both"/>
              <w:rPr>
                <w:bCs/>
                <w:sz w:val="20"/>
                <w:szCs w:val="20"/>
                <w:lang w:val="en-US"/>
              </w:rPr>
            </w:pPr>
            <w:r w:rsidRPr="0009232E">
              <w:rPr>
                <w:b/>
                <w:bCs/>
                <w:sz w:val="20"/>
                <w:szCs w:val="20"/>
                <w:lang w:val="ro-RO"/>
              </w:rPr>
              <w:t xml:space="preserve">Se acceptă, </w:t>
            </w:r>
            <w:r w:rsidRPr="0009232E">
              <w:rPr>
                <w:bCs/>
                <w:sz w:val="20"/>
                <w:szCs w:val="20"/>
                <w:lang w:val="ro-RO"/>
              </w:rPr>
              <w:t xml:space="preserve">a fost inclus un nou subpunct în redacţia </w:t>
            </w:r>
            <w:r w:rsidRPr="0009232E">
              <w:rPr>
                <w:bCs/>
                <w:sz w:val="20"/>
                <w:szCs w:val="20"/>
                <w:lang w:val="en-US"/>
              </w:rPr>
              <w:t>“</w:t>
            </w:r>
            <w:r w:rsidRPr="0009232E">
              <w:rPr>
                <w:bCs/>
                <w:sz w:val="20"/>
                <w:szCs w:val="20"/>
                <w:lang w:val="ro-RO"/>
              </w:rPr>
              <w:t>Controlul asigurării protecţiei muncii personalului exploataţiei, de asemenea protecţiei exploataţiei de accesul animalelor şi păsărilor domestice şi sălbatice, rozătoarelor cu propuneri spre realizare, la necesitate, a măsurilor respective</w:t>
            </w:r>
            <w:r w:rsidRPr="0009232E">
              <w:rPr>
                <w:bCs/>
                <w:sz w:val="20"/>
                <w:szCs w:val="20"/>
                <w:lang w:val="en-US"/>
              </w:rPr>
              <w:t>”.</w:t>
            </w:r>
          </w:p>
        </w:tc>
      </w:tr>
      <w:tr w:rsidR="00980491" w:rsidRPr="00F24B45" w:rsidTr="007E2A11">
        <w:trPr>
          <w:trHeight w:val="274"/>
        </w:trPr>
        <w:tc>
          <w:tcPr>
            <w:tcW w:w="659" w:type="dxa"/>
          </w:tcPr>
          <w:p w:rsidR="00980491" w:rsidRPr="0009232E" w:rsidRDefault="00980491" w:rsidP="00AE0EC9">
            <w:pPr>
              <w:jc w:val="both"/>
              <w:rPr>
                <w:b/>
                <w:bCs/>
                <w:sz w:val="20"/>
                <w:szCs w:val="20"/>
                <w:lang w:val="en-US"/>
              </w:rPr>
            </w:pPr>
            <w:r w:rsidRPr="0009232E">
              <w:rPr>
                <w:b/>
                <w:bCs/>
                <w:sz w:val="20"/>
                <w:szCs w:val="20"/>
                <w:lang w:val="en-US"/>
              </w:rPr>
              <w:t>VI</w:t>
            </w:r>
          </w:p>
        </w:tc>
        <w:tc>
          <w:tcPr>
            <w:tcW w:w="3104" w:type="dxa"/>
          </w:tcPr>
          <w:p w:rsidR="00980491" w:rsidRPr="0009232E" w:rsidRDefault="00980491" w:rsidP="00AE0EC9">
            <w:pPr>
              <w:jc w:val="both"/>
              <w:rPr>
                <w:b/>
                <w:bCs/>
                <w:sz w:val="20"/>
                <w:szCs w:val="20"/>
                <w:lang w:val="ro-RO"/>
              </w:rPr>
            </w:pPr>
            <w:r w:rsidRPr="0009232E">
              <w:rPr>
                <w:b/>
                <w:bCs/>
                <w:sz w:val="20"/>
                <w:szCs w:val="20"/>
                <w:lang w:val="ro-RO"/>
              </w:rPr>
              <w:t>Centrul de Armonizare a Legislaţiei (nr. 50/07 din 13.06.2017)</w:t>
            </w:r>
          </w:p>
        </w:tc>
        <w:tc>
          <w:tcPr>
            <w:tcW w:w="5593" w:type="dxa"/>
          </w:tcPr>
          <w:p w:rsidR="00980491" w:rsidRPr="0009232E" w:rsidRDefault="00980491" w:rsidP="00C73AC7">
            <w:pPr>
              <w:tabs>
                <w:tab w:val="left" w:pos="284"/>
              </w:tabs>
              <w:jc w:val="both"/>
              <w:rPr>
                <w:rFonts w:eastAsia="Times New Roman"/>
                <w:sz w:val="20"/>
                <w:szCs w:val="20"/>
                <w:lang w:val="ro-RO" w:eastAsia="ar-SA"/>
              </w:rPr>
            </w:pPr>
            <w:r w:rsidRPr="0009232E">
              <w:rPr>
                <w:bCs/>
                <w:sz w:val="20"/>
                <w:szCs w:val="20"/>
                <w:lang w:val="ro-RO"/>
              </w:rPr>
              <w:t xml:space="preserve">- La </w:t>
            </w:r>
            <w:r w:rsidR="00C73AC7" w:rsidRPr="0009232E">
              <w:rPr>
                <w:rFonts w:eastAsia="Times New Roman"/>
                <w:sz w:val="20"/>
                <w:szCs w:val="20"/>
                <w:lang w:val="ro-RO" w:eastAsia="ar-SA"/>
              </w:rPr>
              <w:t>p</w:t>
            </w:r>
            <w:r w:rsidRPr="0009232E">
              <w:rPr>
                <w:rFonts w:eastAsia="Times New Roman"/>
                <w:sz w:val="20"/>
                <w:szCs w:val="20"/>
                <w:lang w:val="ro-RO" w:eastAsia="ar-SA"/>
              </w:rPr>
              <w:t>ct. 10 din proiectul naţional, ce stabileşte măsurile care sunt puse în aplicare de ANSA în caz de confirmare a bolii Newcastle şi care a preluat prevederile art.</w:t>
            </w:r>
            <w:r w:rsidR="00E9731C" w:rsidRPr="0009232E">
              <w:rPr>
                <w:rFonts w:eastAsia="Times New Roman"/>
                <w:sz w:val="20"/>
                <w:szCs w:val="20"/>
                <w:lang w:val="ro-RO" w:eastAsia="ar-SA"/>
              </w:rPr>
              <w:t xml:space="preserve"> 5 (1) din Directiva 92/66/CEE </w:t>
            </w:r>
            <w:r w:rsidRPr="0009232E">
              <w:rPr>
                <w:rFonts w:eastAsia="Times New Roman"/>
                <w:sz w:val="20"/>
                <w:szCs w:val="20"/>
                <w:lang w:val="ro-RO" w:eastAsia="ar-SA"/>
              </w:rPr>
              <w:t>nu a transpus art. 5 (2) din actul UE care prevede dreptul autorităţii competente</w:t>
            </w:r>
            <w:r w:rsidRPr="0009232E">
              <w:rPr>
                <w:rFonts w:eastAsia="Times New Roman"/>
                <w:sz w:val="20"/>
                <w:szCs w:val="20"/>
                <w:lang w:val="en-US" w:eastAsia="ar-SA"/>
              </w:rPr>
              <w:t xml:space="preserve"> </w:t>
            </w:r>
            <w:r w:rsidRPr="0009232E">
              <w:rPr>
                <w:rFonts w:eastAsia="Times New Roman"/>
                <w:sz w:val="20"/>
                <w:szCs w:val="20"/>
                <w:lang w:val="ro-RO" w:eastAsia="ar-SA"/>
              </w:rPr>
              <w:t>de a</w:t>
            </w:r>
            <w:r w:rsidRPr="0009232E">
              <w:rPr>
                <w:rFonts w:eastAsia="Times New Roman"/>
                <w:sz w:val="20"/>
                <w:szCs w:val="20"/>
                <w:lang w:val="en-US" w:eastAsia="ar-SA"/>
              </w:rPr>
              <w:t xml:space="preserve"> </w:t>
            </w:r>
            <w:r w:rsidRPr="0009232E">
              <w:rPr>
                <w:rFonts w:eastAsia="Times New Roman"/>
                <w:sz w:val="20"/>
                <w:szCs w:val="20"/>
                <w:lang w:val="ro-RO" w:eastAsia="ar-SA"/>
              </w:rPr>
              <w:t>”</w:t>
            </w:r>
            <w:r w:rsidRPr="0009232E">
              <w:rPr>
                <w:rFonts w:eastAsia="Times New Roman"/>
                <w:sz w:val="20"/>
                <w:szCs w:val="20"/>
                <w:lang w:val="en-US" w:eastAsia="ar-SA"/>
              </w:rPr>
              <w:t xml:space="preserve">extinde măsurile prevăzute la alineatul (1) la alte exploataţii învecinate în cazul în care amplasarea, topografia sau contactul cu exploataţia </w:t>
            </w:r>
            <w:r w:rsidRPr="0009232E">
              <w:rPr>
                <w:rFonts w:eastAsia="Times New Roman"/>
                <w:b/>
                <w:i/>
                <w:sz w:val="20"/>
                <w:szCs w:val="20"/>
                <w:lang w:val="en-US" w:eastAsia="ar-SA"/>
              </w:rPr>
              <w:t>în care a fost confirmată maladia</w:t>
            </w:r>
            <w:r w:rsidRPr="0009232E">
              <w:rPr>
                <w:rFonts w:eastAsia="Times New Roman"/>
                <w:sz w:val="20"/>
                <w:szCs w:val="20"/>
                <w:lang w:val="en-US" w:eastAsia="ar-SA"/>
              </w:rPr>
              <w:t xml:space="preserve"> permit suspectarea unei eventuale confirmări.</w:t>
            </w:r>
            <w:r w:rsidRPr="0009232E">
              <w:rPr>
                <w:rFonts w:eastAsia="Times New Roman"/>
                <w:sz w:val="20"/>
                <w:szCs w:val="20"/>
                <w:lang w:val="ro-RO" w:eastAsia="ar-SA"/>
              </w:rPr>
              <w:t xml:space="preserve">” Reieşind din considerentul că proiectul naţional a preluat acest drept al Agenţiei de a adopta anumite măsuri în cazul exploataţiilor învecinate </w:t>
            </w:r>
            <w:r w:rsidRPr="0009232E">
              <w:rPr>
                <w:rFonts w:eastAsia="Times New Roman"/>
                <w:b/>
                <w:i/>
                <w:sz w:val="20"/>
                <w:szCs w:val="20"/>
                <w:lang w:val="ro-RO" w:eastAsia="ar-SA"/>
              </w:rPr>
              <w:t>suspecte de contaminare cu boala Newcastle</w:t>
            </w:r>
            <w:r w:rsidRPr="0009232E">
              <w:rPr>
                <w:rFonts w:eastAsia="Times New Roman"/>
                <w:sz w:val="20"/>
                <w:szCs w:val="20"/>
                <w:lang w:val="ro-RO" w:eastAsia="ar-SA"/>
              </w:rPr>
              <w:t xml:space="preserve"> în pct.7 al proiectului naţional, considerăm necesară completarea pct. 10 din proiect cu prevederea corespondentă din art. 5 (2) al actului UE ce instituie dreptul Agenţiei de a extinde măsurile în cauză şi la exploataţiile învecinate ţinând seama de amplasarea, topografia sau contactul cu exploataţia în care s-a confirmat boala.</w:t>
            </w:r>
          </w:p>
          <w:p w:rsidR="00995770" w:rsidRPr="0009232E" w:rsidRDefault="00995770" w:rsidP="00C73AC7">
            <w:pPr>
              <w:tabs>
                <w:tab w:val="left" w:pos="284"/>
              </w:tabs>
              <w:jc w:val="both"/>
              <w:rPr>
                <w:rFonts w:eastAsia="Times New Roman"/>
                <w:sz w:val="20"/>
                <w:szCs w:val="20"/>
                <w:lang w:val="ro-RO" w:eastAsia="ar-SA"/>
              </w:rPr>
            </w:pPr>
            <w:r w:rsidRPr="0009232E">
              <w:rPr>
                <w:rFonts w:eastAsia="Times New Roman"/>
                <w:sz w:val="20"/>
                <w:szCs w:val="20"/>
                <w:lang w:val="ro-RO" w:eastAsia="ar-SA"/>
              </w:rPr>
              <w:t xml:space="preserve">- La </w:t>
            </w:r>
            <w:r w:rsidR="005A5CA4" w:rsidRPr="0009232E">
              <w:rPr>
                <w:rFonts w:eastAsia="Times New Roman"/>
                <w:sz w:val="20"/>
                <w:szCs w:val="20"/>
                <w:lang w:val="ro-RO" w:eastAsia="ar-SA"/>
              </w:rPr>
              <w:t xml:space="preserve">pct.15, subpct. 6 din proiectul naţional, care stabileşte lista măsurilor care se aplică în zona de protecţie în jurul exploataţiei şi anume interzicerea scoaterii păsărilor şi ouălor destinate incubaţiei din exploataţia în care se află acestea, nu a preluat o excepţie de la această interdicţie care vizează „puii de o zi sau puicuţele ouătoare, care pot fi deplasaţi spre o altă exploataţie din zona de supraveghere în care nu se află alte păsări sau chiar într-o </w:t>
            </w:r>
            <w:r w:rsidR="005A5CA4" w:rsidRPr="0009232E">
              <w:rPr>
                <w:rFonts w:eastAsia="Times New Roman"/>
                <w:sz w:val="20"/>
                <w:szCs w:val="20"/>
                <w:lang w:val="ro-RO" w:eastAsia="ar-SA"/>
              </w:rPr>
              <w:lastRenderedPageBreak/>
              <w:t>exploataţie în afara zonei de supraveghere” din art. 9 (2) (ii) din Directiva 92/66 deopotrivă cu alte 2 excepţii, î</w:t>
            </w:r>
            <w:r w:rsidR="004F7204" w:rsidRPr="0009232E">
              <w:rPr>
                <w:rFonts w:eastAsia="Times New Roman"/>
                <w:sz w:val="20"/>
                <w:szCs w:val="20"/>
                <w:lang w:val="ro-RO" w:eastAsia="ar-SA"/>
              </w:rPr>
              <w:t>ncorporate de proiect în pct. 15</w:t>
            </w:r>
            <w:r w:rsidR="005A5CA4" w:rsidRPr="0009232E">
              <w:rPr>
                <w:rFonts w:eastAsia="Times New Roman"/>
                <w:sz w:val="20"/>
                <w:szCs w:val="20"/>
                <w:lang w:val="ro-RO" w:eastAsia="ar-SA"/>
              </w:rPr>
              <w:t>, subpct. 6, lit. a) şi b) şi care se referă la ”păsările destinate sacrificării imediate într-un abator situat de preferinţă în zona infectată...” (art. 9 (2) (i) din actul UE) şi la ”ouăle destinate incubaţiei spre un incubator...” (art. 9 (2) (iii) din actul UE).</w:t>
            </w:r>
          </w:p>
          <w:p w:rsidR="003B0C8A" w:rsidRPr="0009232E" w:rsidRDefault="00DF5AFA" w:rsidP="00C73AC7">
            <w:pPr>
              <w:tabs>
                <w:tab w:val="left" w:pos="284"/>
              </w:tabs>
              <w:jc w:val="both"/>
              <w:rPr>
                <w:rFonts w:eastAsia="Times New Roman"/>
                <w:sz w:val="20"/>
                <w:szCs w:val="20"/>
                <w:lang w:val="ro-RO" w:eastAsia="ar-SA"/>
              </w:rPr>
            </w:pPr>
            <w:r w:rsidRPr="0009232E">
              <w:rPr>
                <w:rFonts w:eastAsia="Times New Roman"/>
                <w:sz w:val="20"/>
                <w:szCs w:val="20"/>
                <w:lang w:val="ro-RO" w:eastAsia="ar-SA"/>
              </w:rPr>
              <w:t>- Din textul Capitolului „Măsuri preventive”, Secţiunea 5-a al Anexei III a proiectului naţional se vor exclude pct. 40 care stabileşte că ,,I.P. Centrul Republican de Diagnostică Veterinară este obligat să prezinte toţi agenţii de hemaglutinare laboratorului comunitar de referinţă” şi pct. 41 care prevede că ,,Laboratorul comunitar de referinţă pentru boala de Newcastle este: Central Veterinary Laboratory; New Haw, Weybridge, Surrey KT 15 3 NB Regatul Unit”. Chiar dacă prevederile naţionale menţionate supra  au preluat ad litteram normele UE din art. 15 şi Capitolul 3, pct.</w:t>
            </w:r>
            <w:r w:rsidR="00B13695" w:rsidRPr="0009232E">
              <w:rPr>
                <w:rFonts w:eastAsia="Times New Roman"/>
                <w:sz w:val="20"/>
                <w:szCs w:val="20"/>
                <w:lang w:val="ro-RO" w:eastAsia="ar-SA"/>
              </w:rPr>
              <w:t xml:space="preserve"> </w:t>
            </w:r>
            <w:r w:rsidRPr="0009232E">
              <w:rPr>
                <w:rFonts w:eastAsia="Times New Roman"/>
                <w:sz w:val="20"/>
                <w:szCs w:val="20"/>
                <w:lang w:val="ro-RO" w:eastAsia="ar-SA"/>
              </w:rPr>
              <w:t>2 ,,Confirmare” al Directivei 92/66/CEE, acestea nu pot constitui la moment obiect al transpuneri, în măsura în care Republica Moldova are calitatea de stat asociat UE şi, respectiv, nu-i pot fi imputate obligaţii specifice care rezultă din calitatea de stat membru al UE.</w:t>
            </w:r>
          </w:p>
          <w:p w:rsidR="008C73B0" w:rsidRPr="0009232E" w:rsidRDefault="008C73B0" w:rsidP="00393748">
            <w:pPr>
              <w:jc w:val="both"/>
              <w:rPr>
                <w:rFonts w:eastAsia="Times New Roman"/>
                <w:sz w:val="20"/>
                <w:szCs w:val="20"/>
                <w:lang w:val="ro-RO" w:eastAsia="ar-SA"/>
              </w:rPr>
            </w:pPr>
            <w:r w:rsidRPr="0009232E">
              <w:rPr>
                <w:rFonts w:eastAsia="Times New Roman"/>
                <w:sz w:val="20"/>
                <w:szCs w:val="20"/>
                <w:lang w:val="ro-RO" w:eastAsia="ar-SA"/>
              </w:rPr>
              <w:t xml:space="preserve">- </w:t>
            </w:r>
            <w:r w:rsidR="004F7204" w:rsidRPr="0009232E">
              <w:rPr>
                <w:rFonts w:eastAsia="Times New Roman"/>
                <w:sz w:val="20"/>
                <w:szCs w:val="20"/>
                <w:lang w:val="ro-RO" w:eastAsia="ar-SA"/>
              </w:rPr>
              <w:t>Proiectul naţional în pct. 10</w:t>
            </w:r>
            <w:r w:rsidRPr="0009232E">
              <w:rPr>
                <w:rFonts w:eastAsia="Times New Roman"/>
                <w:sz w:val="20"/>
                <w:szCs w:val="20"/>
                <w:lang w:val="ro-RO" w:eastAsia="ar-SA"/>
              </w:rPr>
              <w:t xml:space="preserve"> şi pct. 13 ale Secţiunii 2, Capitolul II operează cu trimiteri eronate la alte prevederi ale proiectului naţional. Astfel, în pct. 10.3 trimiterea se va opera la pct. 2 (nu pct.3), iar în pct. 13 la</w:t>
            </w:r>
            <w:r w:rsidR="004F7204" w:rsidRPr="0009232E">
              <w:rPr>
                <w:rFonts w:eastAsia="Times New Roman"/>
                <w:sz w:val="20"/>
                <w:szCs w:val="20"/>
                <w:lang w:val="ro-RO" w:eastAsia="ar-SA"/>
              </w:rPr>
              <w:t xml:space="preserve"> prezentul punct (nu la alin. </w:t>
            </w:r>
            <w:r w:rsidRPr="0009232E">
              <w:rPr>
                <w:rFonts w:eastAsia="Times New Roman"/>
                <w:sz w:val="20"/>
                <w:szCs w:val="20"/>
                <w:lang w:val="ro-RO" w:eastAsia="ar-SA"/>
              </w:rPr>
              <w:t>3).</w:t>
            </w:r>
          </w:p>
          <w:p w:rsidR="008C73B0" w:rsidRPr="0009232E" w:rsidRDefault="008C73B0" w:rsidP="00393748">
            <w:pPr>
              <w:tabs>
                <w:tab w:val="left" w:pos="284"/>
              </w:tabs>
              <w:jc w:val="both"/>
              <w:rPr>
                <w:rFonts w:eastAsia="Times New Roman"/>
                <w:sz w:val="20"/>
                <w:szCs w:val="20"/>
                <w:lang w:val="ro-RO" w:eastAsia="ar-SA"/>
              </w:rPr>
            </w:pPr>
            <w:r w:rsidRPr="0009232E">
              <w:rPr>
                <w:rFonts w:eastAsia="Times New Roman"/>
                <w:sz w:val="20"/>
                <w:szCs w:val="20"/>
                <w:lang w:val="ro-RO" w:eastAsia="ar-SA"/>
              </w:rPr>
              <w:t xml:space="preserve">- </w:t>
            </w:r>
            <w:r w:rsidR="00A77AA9" w:rsidRPr="0009232E">
              <w:rPr>
                <w:rFonts w:eastAsia="Times New Roman"/>
                <w:sz w:val="20"/>
                <w:szCs w:val="20"/>
                <w:lang w:val="ro-RO" w:eastAsia="ar-SA"/>
              </w:rPr>
              <w:t>Clauza de armonizare din proiectul naţional urmează a fi revizuită în vederea uniformizării acesteia şi expusă în următoarea redacţie: „Prezenta Hotărîre de Guvern transpune Directiva 92/66/CEE a Consiliului Comunităţilor Europene din 14 iulie 1992 de stabilire a măsurile comunitare de combatere a maladiei de Newcastle, publicată în Jurnalul Oficial al Comunităţii Europene L 260 din 5 septembrie 1992”.</w:t>
            </w:r>
          </w:p>
          <w:p w:rsidR="006529C4" w:rsidRPr="0009232E" w:rsidRDefault="006529C4" w:rsidP="00393748">
            <w:pPr>
              <w:tabs>
                <w:tab w:val="left" w:pos="284"/>
              </w:tabs>
              <w:jc w:val="both"/>
              <w:rPr>
                <w:rFonts w:eastAsia="Times New Roman"/>
                <w:sz w:val="20"/>
                <w:szCs w:val="20"/>
                <w:lang w:val="ro-RO" w:eastAsia="ar-SA"/>
              </w:rPr>
            </w:pPr>
          </w:p>
        </w:tc>
        <w:tc>
          <w:tcPr>
            <w:tcW w:w="6379" w:type="dxa"/>
          </w:tcPr>
          <w:p w:rsidR="00FB0C78" w:rsidRPr="0009232E" w:rsidRDefault="00D75661" w:rsidP="00FB0C78">
            <w:pPr>
              <w:tabs>
                <w:tab w:val="left" w:pos="284"/>
              </w:tabs>
              <w:jc w:val="both"/>
              <w:rPr>
                <w:rFonts w:eastAsia="Times New Roman"/>
                <w:sz w:val="20"/>
                <w:szCs w:val="20"/>
                <w:lang w:val="ro-RO" w:eastAsia="ar-SA"/>
              </w:rPr>
            </w:pPr>
            <w:r w:rsidRPr="0009232E">
              <w:rPr>
                <w:b/>
                <w:bCs/>
                <w:sz w:val="20"/>
                <w:szCs w:val="20"/>
                <w:lang w:val="ro-RO"/>
              </w:rPr>
              <w:lastRenderedPageBreak/>
              <w:t xml:space="preserve">Se acceptă, </w:t>
            </w:r>
            <w:r w:rsidR="00FB0C78" w:rsidRPr="0009232E">
              <w:rPr>
                <w:bCs/>
                <w:sz w:val="20"/>
                <w:szCs w:val="20"/>
                <w:lang w:val="ro-RO"/>
              </w:rPr>
              <w:t xml:space="preserve">a fost </w:t>
            </w:r>
            <w:r w:rsidR="00FB0C78" w:rsidRPr="0009232E">
              <w:rPr>
                <w:rFonts w:eastAsia="Times New Roman"/>
                <w:sz w:val="20"/>
                <w:szCs w:val="20"/>
                <w:lang w:val="ro-RO" w:eastAsia="ar-SA"/>
              </w:rPr>
              <w:t>completat pct. 10 din proiect cu prevederea corespondentă din art. 5 (2) al actului UE ce instituie dreptul Agenţiei de a extinde măsurile în cauză şi la exploataţiile învecinate ţinând seama de amplasarea, topografia sau contactul cu exploataţia în care s-a confirmat boala.</w:t>
            </w:r>
          </w:p>
          <w:p w:rsidR="00082257" w:rsidRPr="0009232E" w:rsidRDefault="00082257" w:rsidP="00FB0C78">
            <w:pPr>
              <w:tabs>
                <w:tab w:val="left" w:pos="284"/>
              </w:tabs>
              <w:jc w:val="both"/>
              <w:rPr>
                <w:rFonts w:eastAsia="Times New Roman"/>
                <w:sz w:val="20"/>
                <w:szCs w:val="20"/>
                <w:lang w:val="ro-RO" w:eastAsia="ar-SA"/>
              </w:rPr>
            </w:pPr>
          </w:p>
          <w:p w:rsidR="00082257" w:rsidRPr="0009232E" w:rsidRDefault="00082257" w:rsidP="00FB0C78">
            <w:pPr>
              <w:tabs>
                <w:tab w:val="left" w:pos="284"/>
              </w:tabs>
              <w:jc w:val="both"/>
              <w:rPr>
                <w:rFonts w:eastAsia="Times New Roman"/>
                <w:sz w:val="20"/>
                <w:szCs w:val="20"/>
                <w:lang w:val="ro-RO" w:eastAsia="ar-SA"/>
              </w:rPr>
            </w:pPr>
          </w:p>
          <w:p w:rsidR="00082257" w:rsidRPr="0009232E" w:rsidRDefault="00082257" w:rsidP="00FB0C78">
            <w:pPr>
              <w:tabs>
                <w:tab w:val="left" w:pos="284"/>
              </w:tabs>
              <w:jc w:val="both"/>
              <w:rPr>
                <w:rFonts w:eastAsia="Times New Roman"/>
                <w:sz w:val="20"/>
                <w:szCs w:val="20"/>
                <w:lang w:val="ro-RO" w:eastAsia="ar-SA"/>
              </w:rPr>
            </w:pPr>
          </w:p>
          <w:p w:rsidR="00082257" w:rsidRPr="0009232E" w:rsidRDefault="00082257" w:rsidP="00FB0C78">
            <w:pPr>
              <w:tabs>
                <w:tab w:val="left" w:pos="284"/>
              </w:tabs>
              <w:jc w:val="both"/>
              <w:rPr>
                <w:rFonts w:eastAsia="Times New Roman"/>
                <w:sz w:val="20"/>
                <w:szCs w:val="20"/>
                <w:lang w:val="ro-RO" w:eastAsia="ar-SA"/>
              </w:rPr>
            </w:pPr>
          </w:p>
          <w:p w:rsidR="00082257" w:rsidRPr="0009232E" w:rsidRDefault="00082257" w:rsidP="00FB0C78">
            <w:pPr>
              <w:tabs>
                <w:tab w:val="left" w:pos="284"/>
              </w:tabs>
              <w:jc w:val="both"/>
              <w:rPr>
                <w:rFonts w:eastAsia="Times New Roman"/>
                <w:sz w:val="20"/>
                <w:szCs w:val="20"/>
                <w:lang w:val="ro-RO" w:eastAsia="ar-SA"/>
              </w:rPr>
            </w:pPr>
          </w:p>
          <w:p w:rsidR="00082257" w:rsidRPr="0009232E" w:rsidRDefault="00082257" w:rsidP="00FB0C78">
            <w:pPr>
              <w:tabs>
                <w:tab w:val="left" w:pos="284"/>
              </w:tabs>
              <w:jc w:val="both"/>
              <w:rPr>
                <w:rFonts w:eastAsia="Times New Roman"/>
                <w:sz w:val="20"/>
                <w:szCs w:val="20"/>
                <w:lang w:val="ro-RO" w:eastAsia="ar-SA"/>
              </w:rPr>
            </w:pPr>
          </w:p>
          <w:p w:rsidR="00082257" w:rsidRPr="0009232E" w:rsidRDefault="00082257" w:rsidP="00FB0C78">
            <w:pPr>
              <w:tabs>
                <w:tab w:val="left" w:pos="284"/>
              </w:tabs>
              <w:jc w:val="both"/>
              <w:rPr>
                <w:rFonts w:eastAsia="Times New Roman"/>
                <w:sz w:val="20"/>
                <w:szCs w:val="20"/>
                <w:lang w:val="ro-RO" w:eastAsia="ar-SA"/>
              </w:rPr>
            </w:pPr>
          </w:p>
          <w:p w:rsidR="00082257" w:rsidRPr="0009232E" w:rsidRDefault="00082257" w:rsidP="00FB0C78">
            <w:pPr>
              <w:tabs>
                <w:tab w:val="left" w:pos="284"/>
              </w:tabs>
              <w:jc w:val="both"/>
              <w:rPr>
                <w:rFonts w:eastAsia="Times New Roman"/>
                <w:sz w:val="20"/>
                <w:szCs w:val="20"/>
                <w:lang w:val="ro-RO" w:eastAsia="ar-SA"/>
              </w:rPr>
            </w:pPr>
          </w:p>
          <w:p w:rsidR="00082257" w:rsidRPr="0009232E" w:rsidRDefault="00082257" w:rsidP="00FB0C78">
            <w:pPr>
              <w:tabs>
                <w:tab w:val="left" w:pos="284"/>
              </w:tabs>
              <w:jc w:val="both"/>
              <w:rPr>
                <w:rFonts w:eastAsia="Times New Roman"/>
                <w:sz w:val="20"/>
                <w:szCs w:val="20"/>
                <w:lang w:val="ro-RO" w:eastAsia="ar-SA"/>
              </w:rPr>
            </w:pPr>
          </w:p>
          <w:p w:rsidR="00A44A9F" w:rsidRPr="0009232E" w:rsidRDefault="00A44A9F" w:rsidP="00FB0C78">
            <w:pPr>
              <w:tabs>
                <w:tab w:val="left" w:pos="284"/>
              </w:tabs>
              <w:jc w:val="both"/>
              <w:rPr>
                <w:rFonts w:eastAsia="Times New Roman"/>
                <w:sz w:val="20"/>
                <w:szCs w:val="20"/>
                <w:lang w:val="ro-RO" w:eastAsia="ar-SA"/>
              </w:rPr>
            </w:pPr>
          </w:p>
          <w:p w:rsidR="00A44A9F" w:rsidRPr="0009232E" w:rsidRDefault="00A44A9F" w:rsidP="00FB0C78">
            <w:pPr>
              <w:tabs>
                <w:tab w:val="left" w:pos="284"/>
              </w:tabs>
              <w:jc w:val="both"/>
              <w:rPr>
                <w:rFonts w:eastAsia="Times New Roman"/>
                <w:sz w:val="20"/>
                <w:szCs w:val="20"/>
                <w:lang w:val="ro-RO" w:eastAsia="ar-SA"/>
              </w:rPr>
            </w:pPr>
          </w:p>
          <w:p w:rsidR="00A44A9F" w:rsidRPr="0009232E" w:rsidRDefault="00A44A9F" w:rsidP="00FB0C78">
            <w:pPr>
              <w:tabs>
                <w:tab w:val="left" w:pos="284"/>
              </w:tabs>
              <w:jc w:val="both"/>
              <w:rPr>
                <w:rFonts w:eastAsia="Times New Roman"/>
                <w:sz w:val="20"/>
                <w:szCs w:val="20"/>
                <w:lang w:val="ro-RO" w:eastAsia="ar-SA"/>
              </w:rPr>
            </w:pPr>
          </w:p>
          <w:p w:rsidR="00980491" w:rsidRPr="0009232E" w:rsidRDefault="00082257" w:rsidP="00673FA6">
            <w:pPr>
              <w:tabs>
                <w:tab w:val="left" w:pos="284"/>
              </w:tabs>
              <w:jc w:val="both"/>
              <w:rPr>
                <w:rFonts w:eastAsia="Times New Roman"/>
                <w:sz w:val="20"/>
                <w:szCs w:val="20"/>
                <w:lang w:val="ro-RO" w:eastAsia="ar-SA"/>
              </w:rPr>
            </w:pPr>
            <w:r w:rsidRPr="0009232E">
              <w:rPr>
                <w:rFonts w:eastAsia="Times New Roman"/>
                <w:b/>
                <w:sz w:val="20"/>
                <w:szCs w:val="20"/>
                <w:lang w:val="ro-RO" w:eastAsia="ar-SA"/>
              </w:rPr>
              <w:t>Se acceptă</w:t>
            </w:r>
            <w:r w:rsidR="000F6736" w:rsidRPr="0009232E">
              <w:rPr>
                <w:rFonts w:eastAsia="Times New Roman"/>
                <w:b/>
                <w:sz w:val="20"/>
                <w:szCs w:val="20"/>
                <w:lang w:val="ro-RO" w:eastAsia="ar-SA"/>
              </w:rPr>
              <w:t xml:space="preserve"> parţial</w:t>
            </w:r>
            <w:r w:rsidRPr="0009232E">
              <w:rPr>
                <w:rFonts w:eastAsia="Times New Roman"/>
                <w:b/>
                <w:sz w:val="20"/>
                <w:szCs w:val="20"/>
                <w:lang w:val="ro-RO" w:eastAsia="ar-SA"/>
              </w:rPr>
              <w:t xml:space="preserve">, </w:t>
            </w:r>
            <w:r w:rsidR="00F90932" w:rsidRPr="0009232E">
              <w:rPr>
                <w:rFonts w:eastAsia="Times New Roman"/>
                <w:sz w:val="20"/>
                <w:szCs w:val="20"/>
                <w:lang w:val="ro-RO" w:eastAsia="ar-SA"/>
              </w:rPr>
              <w:t>a</w:t>
            </w:r>
            <w:r w:rsidR="00673FA6" w:rsidRPr="0009232E">
              <w:rPr>
                <w:rFonts w:eastAsia="Times New Roman"/>
                <w:sz w:val="20"/>
                <w:szCs w:val="20"/>
                <w:lang w:val="ro-RO" w:eastAsia="ar-SA"/>
              </w:rPr>
              <w:t>u fost preluate prevederile din art. 9 (2) (ii) din Directiva 92/66.</w:t>
            </w:r>
          </w:p>
          <w:p w:rsidR="0023099C" w:rsidRPr="0009232E" w:rsidRDefault="0023099C" w:rsidP="00673FA6">
            <w:pPr>
              <w:tabs>
                <w:tab w:val="left" w:pos="284"/>
              </w:tabs>
              <w:jc w:val="both"/>
              <w:rPr>
                <w:rFonts w:eastAsia="Times New Roman"/>
                <w:sz w:val="20"/>
                <w:szCs w:val="20"/>
                <w:lang w:val="ro-RO" w:eastAsia="ar-SA"/>
              </w:rPr>
            </w:pPr>
          </w:p>
          <w:p w:rsidR="0023099C" w:rsidRPr="0009232E" w:rsidRDefault="0023099C" w:rsidP="00673FA6">
            <w:pPr>
              <w:tabs>
                <w:tab w:val="left" w:pos="284"/>
              </w:tabs>
              <w:jc w:val="both"/>
              <w:rPr>
                <w:rFonts w:eastAsia="Times New Roman"/>
                <w:sz w:val="20"/>
                <w:szCs w:val="20"/>
                <w:lang w:val="ro-RO" w:eastAsia="ar-SA"/>
              </w:rPr>
            </w:pPr>
          </w:p>
          <w:p w:rsidR="0023099C" w:rsidRPr="0009232E" w:rsidRDefault="0023099C" w:rsidP="00673FA6">
            <w:pPr>
              <w:tabs>
                <w:tab w:val="left" w:pos="284"/>
              </w:tabs>
              <w:jc w:val="both"/>
              <w:rPr>
                <w:rFonts w:eastAsia="Times New Roman"/>
                <w:sz w:val="20"/>
                <w:szCs w:val="20"/>
                <w:lang w:val="ro-RO" w:eastAsia="ar-SA"/>
              </w:rPr>
            </w:pPr>
          </w:p>
          <w:p w:rsidR="0023099C" w:rsidRPr="0009232E" w:rsidRDefault="0023099C" w:rsidP="00673FA6">
            <w:pPr>
              <w:tabs>
                <w:tab w:val="left" w:pos="284"/>
              </w:tabs>
              <w:jc w:val="both"/>
              <w:rPr>
                <w:rFonts w:eastAsia="Times New Roman"/>
                <w:sz w:val="20"/>
                <w:szCs w:val="20"/>
                <w:lang w:val="ro-RO" w:eastAsia="ar-SA"/>
              </w:rPr>
            </w:pPr>
          </w:p>
          <w:p w:rsidR="0023099C" w:rsidRPr="0009232E" w:rsidRDefault="0023099C" w:rsidP="00673FA6">
            <w:pPr>
              <w:tabs>
                <w:tab w:val="left" w:pos="284"/>
              </w:tabs>
              <w:jc w:val="both"/>
              <w:rPr>
                <w:rFonts w:eastAsia="Times New Roman"/>
                <w:sz w:val="20"/>
                <w:szCs w:val="20"/>
                <w:lang w:val="ro-RO" w:eastAsia="ar-SA"/>
              </w:rPr>
            </w:pPr>
          </w:p>
          <w:p w:rsidR="0023099C" w:rsidRPr="0009232E" w:rsidRDefault="0023099C" w:rsidP="00673FA6">
            <w:pPr>
              <w:tabs>
                <w:tab w:val="left" w:pos="284"/>
              </w:tabs>
              <w:jc w:val="both"/>
              <w:rPr>
                <w:rFonts w:eastAsia="Times New Roman"/>
                <w:sz w:val="20"/>
                <w:szCs w:val="20"/>
                <w:lang w:val="ro-RO" w:eastAsia="ar-SA"/>
              </w:rPr>
            </w:pPr>
          </w:p>
          <w:p w:rsidR="0023099C" w:rsidRPr="0009232E" w:rsidRDefault="0023099C" w:rsidP="00673FA6">
            <w:pPr>
              <w:tabs>
                <w:tab w:val="left" w:pos="284"/>
              </w:tabs>
              <w:jc w:val="both"/>
              <w:rPr>
                <w:rFonts w:eastAsia="Times New Roman"/>
                <w:sz w:val="20"/>
                <w:szCs w:val="20"/>
                <w:lang w:val="ro-RO" w:eastAsia="ar-SA"/>
              </w:rPr>
            </w:pPr>
          </w:p>
          <w:p w:rsidR="00A44A9F" w:rsidRDefault="00A44A9F" w:rsidP="00673FA6">
            <w:pPr>
              <w:tabs>
                <w:tab w:val="left" w:pos="284"/>
              </w:tabs>
              <w:jc w:val="both"/>
              <w:rPr>
                <w:rFonts w:eastAsia="Times New Roman"/>
                <w:sz w:val="20"/>
                <w:szCs w:val="20"/>
                <w:lang w:val="ro-RO" w:eastAsia="ar-SA"/>
              </w:rPr>
            </w:pPr>
          </w:p>
          <w:p w:rsidR="0009232E" w:rsidRDefault="0009232E" w:rsidP="00673FA6">
            <w:pPr>
              <w:tabs>
                <w:tab w:val="left" w:pos="284"/>
              </w:tabs>
              <w:jc w:val="both"/>
              <w:rPr>
                <w:rFonts w:eastAsia="Times New Roman"/>
                <w:sz w:val="20"/>
                <w:szCs w:val="20"/>
                <w:lang w:val="ro-RO" w:eastAsia="ar-SA"/>
              </w:rPr>
            </w:pPr>
          </w:p>
          <w:p w:rsidR="0009232E" w:rsidRDefault="0009232E" w:rsidP="00673FA6">
            <w:pPr>
              <w:tabs>
                <w:tab w:val="left" w:pos="284"/>
              </w:tabs>
              <w:jc w:val="both"/>
              <w:rPr>
                <w:rFonts w:eastAsia="Times New Roman"/>
                <w:sz w:val="20"/>
                <w:szCs w:val="20"/>
                <w:lang w:val="ro-RO" w:eastAsia="ar-SA"/>
              </w:rPr>
            </w:pPr>
          </w:p>
          <w:p w:rsidR="0009232E" w:rsidRPr="0009232E" w:rsidRDefault="0009232E" w:rsidP="00673FA6">
            <w:pPr>
              <w:tabs>
                <w:tab w:val="left" w:pos="284"/>
              </w:tabs>
              <w:jc w:val="both"/>
              <w:rPr>
                <w:rFonts w:eastAsia="Times New Roman"/>
                <w:sz w:val="20"/>
                <w:szCs w:val="20"/>
                <w:lang w:val="ro-RO" w:eastAsia="ar-SA"/>
              </w:rPr>
            </w:pPr>
          </w:p>
          <w:p w:rsidR="0023099C" w:rsidRPr="0009232E" w:rsidRDefault="0023099C" w:rsidP="00D71986">
            <w:pPr>
              <w:tabs>
                <w:tab w:val="left" w:pos="284"/>
              </w:tabs>
              <w:jc w:val="both"/>
              <w:rPr>
                <w:rFonts w:eastAsia="Times New Roman"/>
                <w:sz w:val="20"/>
                <w:szCs w:val="20"/>
                <w:lang w:val="ro-RO" w:eastAsia="ar-SA"/>
              </w:rPr>
            </w:pPr>
            <w:r w:rsidRPr="0009232E">
              <w:rPr>
                <w:rFonts w:eastAsia="Times New Roman"/>
                <w:b/>
                <w:sz w:val="20"/>
                <w:szCs w:val="20"/>
                <w:lang w:val="ro-RO" w:eastAsia="ar-SA"/>
              </w:rPr>
              <w:t xml:space="preserve">Se acceptă, </w:t>
            </w:r>
            <w:r w:rsidR="00D71986" w:rsidRPr="0009232E">
              <w:rPr>
                <w:rFonts w:eastAsia="Times New Roman"/>
                <w:sz w:val="20"/>
                <w:szCs w:val="20"/>
                <w:lang w:val="ro-RO" w:eastAsia="ar-SA"/>
              </w:rPr>
              <w:t>din textul Capitolului „Măsuri preventive”, Secţiunea 5-a al Anexei III a proiectului naţional au fost excluse pct. 40 care stabileşte că ,,I.P. Centrul Republican de Diagnostică Veterinară este obligat să prezinte toţi agenţii de hemaglutinare laboratorului comunitar de referinţă” şi pct. 41 care prevede că ,,Laboratorul comunitar de referinţă pentru boala de Newcastle este: Central Veterinary Laboratory; New Haw, Weybridge, Surrey KT 15 3 NB Regatul Unit”.</w:t>
            </w:r>
          </w:p>
          <w:p w:rsidR="00B96DC2" w:rsidRPr="0009232E" w:rsidRDefault="00B96DC2" w:rsidP="00D71986">
            <w:pPr>
              <w:tabs>
                <w:tab w:val="left" w:pos="284"/>
              </w:tabs>
              <w:jc w:val="both"/>
              <w:rPr>
                <w:rFonts w:eastAsia="Times New Roman"/>
                <w:sz w:val="20"/>
                <w:szCs w:val="20"/>
                <w:lang w:val="ro-RO" w:eastAsia="ar-SA"/>
              </w:rPr>
            </w:pPr>
          </w:p>
          <w:p w:rsidR="00B96DC2" w:rsidRPr="0009232E" w:rsidRDefault="00B96DC2" w:rsidP="00D71986">
            <w:pPr>
              <w:tabs>
                <w:tab w:val="left" w:pos="284"/>
              </w:tabs>
              <w:jc w:val="both"/>
              <w:rPr>
                <w:rFonts w:eastAsia="Times New Roman"/>
                <w:sz w:val="20"/>
                <w:szCs w:val="20"/>
                <w:lang w:val="ro-RO" w:eastAsia="ar-SA"/>
              </w:rPr>
            </w:pPr>
          </w:p>
          <w:p w:rsidR="00B96DC2" w:rsidRPr="0009232E" w:rsidRDefault="00B96DC2" w:rsidP="00D71986">
            <w:pPr>
              <w:tabs>
                <w:tab w:val="left" w:pos="284"/>
              </w:tabs>
              <w:jc w:val="both"/>
              <w:rPr>
                <w:rFonts w:eastAsia="Times New Roman"/>
                <w:sz w:val="20"/>
                <w:szCs w:val="20"/>
                <w:lang w:val="ro-RO" w:eastAsia="ar-SA"/>
              </w:rPr>
            </w:pPr>
          </w:p>
          <w:p w:rsidR="00B96DC2" w:rsidRPr="0009232E" w:rsidRDefault="00B96DC2" w:rsidP="00D71986">
            <w:pPr>
              <w:tabs>
                <w:tab w:val="left" w:pos="284"/>
              </w:tabs>
              <w:jc w:val="both"/>
              <w:rPr>
                <w:rFonts w:eastAsia="Times New Roman"/>
                <w:sz w:val="20"/>
                <w:szCs w:val="20"/>
                <w:lang w:val="ro-RO" w:eastAsia="ar-SA"/>
              </w:rPr>
            </w:pPr>
          </w:p>
          <w:p w:rsidR="00B96DC2" w:rsidRPr="0009232E" w:rsidRDefault="00B96DC2" w:rsidP="00D71986">
            <w:pPr>
              <w:tabs>
                <w:tab w:val="left" w:pos="284"/>
              </w:tabs>
              <w:jc w:val="both"/>
              <w:rPr>
                <w:rFonts w:eastAsia="Times New Roman"/>
                <w:sz w:val="20"/>
                <w:szCs w:val="20"/>
                <w:lang w:val="ro-RO" w:eastAsia="ar-SA"/>
              </w:rPr>
            </w:pPr>
          </w:p>
          <w:p w:rsidR="00A44A9F" w:rsidRPr="0009232E" w:rsidRDefault="00A44A9F" w:rsidP="00D71986">
            <w:pPr>
              <w:tabs>
                <w:tab w:val="left" w:pos="284"/>
              </w:tabs>
              <w:jc w:val="both"/>
              <w:rPr>
                <w:rFonts w:eastAsia="Times New Roman"/>
                <w:sz w:val="20"/>
                <w:szCs w:val="20"/>
                <w:lang w:val="ro-RO" w:eastAsia="ar-SA"/>
              </w:rPr>
            </w:pPr>
          </w:p>
          <w:p w:rsidR="00A44A9F" w:rsidRPr="0009232E" w:rsidRDefault="00A44A9F" w:rsidP="00D71986">
            <w:pPr>
              <w:tabs>
                <w:tab w:val="left" w:pos="284"/>
              </w:tabs>
              <w:jc w:val="both"/>
              <w:rPr>
                <w:rFonts w:eastAsia="Times New Roman"/>
                <w:sz w:val="20"/>
                <w:szCs w:val="20"/>
                <w:lang w:val="ro-RO" w:eastAsia="ar-SA"/>
              </w:rPr>
            </w:pPr>
          </w:p>
          <w:p w:rsidR="00B96DC2" w:rsidRPr="0009232E" w:rsidRDefault="00B96DC2" w:rsidP="00D71986">
            <w:pPr>
              <w:tabs>
                <w:tab w:val="left" w:pos="284"/>
              </w:tabs>
              <w:jc w:val="both"/>
              <w:rPr>
                <w:rFonts w:eastAsia="Times New Roman"/>
                <w:sz w:val="20"/>
                <w:szCs w:val="20"/>
                <w:lang w:val="ro-RO" w:eastAsia="ar-SA"/>
              </w:rPr>
            </w:pPr>
            <w:r w:rsidRPr="0009232E">
              <w:rPr>
                <w:rFonts w:eastAsia="Times New Roman"/>
                <w:b/>
                <w:sz w:val="20"/>
                <w:szCs w:val="20"/>
                <w:lang w:val="ro-RO" w:eastAsia="ar-SA"/>
              </w:rPr>
              <w:t xml:space="preserve">Se acceptă, </w:t>
            </w:r>
            <w:r w:rsidR="00752AB6" w:rsidRPr="0009232E">
              <w:rPr>
                <w:rFonts w:eastAsia="Times New Roman"/>
                <w:sz w:val="20"/>
                <w:szCs w:val="20"/>
                <w:lang w:val="ro-RO" w:eastAsia="ar-SA"/>
              </w:rPr>
              <w:t>prevederile pct. 10 ş 13 ale Secţiunii 2, din Capitotolul II a proiec</w:t>
            </w:r>
            <w:r w:rsidR="00537D2C" w:rsidRPr="0009232E">
              <w:rPr>
                <w:rFonts w:eastAsia="Times New Roman"/>
                <w:sz w:val="20"/>
                <w:szCs w:val="20"/>
                <w:lang w:val="ro-RO" w:eastAsia="ar-SA"/>
              </w:rPr>
              <w:t>t</w:t>
            </w:r>
            <w:r w:rsidR="00752AB6" w:rsidRPr="0009232E">
              <w:rPr>
                <w:rFonts w:eastAsia="Times New Roman"/>
                <w:sz w:val="20"/>
                <w:szCs w:val="20"/>
                <w:lang w:val="ro-RO" w:eastAsia="ar-SA"/>
              </w:rPr>
              <w:t xml:space="preserve"> au fost revăzute şi </w:t>
            </w:r>
            <w:r w:rsidR="00F015C4" w:rsidRPr="0009232E">
              <w:rPr>
                <w:rFonts w:eastAsia="Times New Roman"/>
                <w:sz w:val="20"/>
                <w:szCs w:val="20"/>
                <w:lang w:val="ro-RO" w:eastAsia="ar-SA"/>
              </w:rPr>
              <w:t>redactate.</w:t>
            </w:r>
          </w:p>
          <w:p w:rsidR="00F02A15" w:rsidRPr="0009232E" w:rsidRDefault="00F02A15" w:rsidP="00D71986">
            <w:pPr>
              <w:tabs>
                <w:tab w:val="left" w:pos="284"/>
              </w:tabs>
              <w:jc w:val="both"/>
              <w:rPr>
                <w:rFonts w:eastAsia="Times New Roman"/>
                <w:sz w:val="20"/>
                <w:szCs w:val="20"/>
                <w:lang w:val="ro-RO" w:eastAsia="ar-SA"/>
              </w:rPr>
            </w:pPr>
          </w:p>
          <w:p w:rsidR="00A44A9F" w:rsidRPr="0009232E" w:rsidRDefault="00A44A9F" w:rsidP="00D71986">
            <w:pPr>
              <w:tabs>
                <w:tab w:val="left" w:pos="284"/>
              </w:tabs>
              <w:jc w:val="both"/>
              <w:rPr>
                <w:rFonts w:eastAsia="Times New Roman"/>
                <w:sz w:val="20"/>
                <w:szCs w:val="20"/>
                <w:lang w:val="ro-RO" w:eastAsia="ar-SA"/>
              </w:rPr>
            </w:pPr>
          </w:p>
          <w:p w:rsidR="00F02A15" w:rsidRPr="0009232E" w:rsidRDefault="00F02A15" w:rsidP="00D71986">
            <w:pPr>
              <w:tabs>
                <w:tab w:val="left" w:pos="284"/>
              </w:tabs>
              <w:jc w:val="both"/>
              <w:rPr>
                <w:bCs/>
                <w:sz w:val="20"/>
                <w:szCs w:val="20"/>
                <w:lang w:val="en-US"/>
              </w:rPr>
            </w:pPr>
            <w:r w:rsidRPr="0009232E">
              <w:rPr>
                <w:rFonts w:eastAsia="Times New Roman"/>
                <w:b/>
                <w:sz w:val="20"/>
                <w:szCs w:val="20"/>
                <w:lang w:val="ro-RO" w:eastAsia="ar-SA"/>
              </w:rPr>
              <w:t xml:space="preserve">Se acceptă, </w:t>
            </w:r>
            <w:r w:rsidR="004F1454" w:rsidRPr="0009232E">
              <w:rPr>
                <w:rFonts w:eastAsia="Times New Roman"/>
                <w:sz w:val="20"/>
                <w:szCs w:val="20"/>
                <w:lang w:val="ro-RO" w:eastAsia="ar-SA"/>
              </w:rPr>
              <w:t>a fost revizuită clauza de armonizare din proiectul naţional, aceasta fiind expusă în următoarea redacţie</w:t>
            </w:r>
            <w:r w:rsidR="00AA2DCB" w:rsidRPr="0009232E">
              <w:rPr>
                <w:rFonts w:eastAsia="Times New Roman"/>
                <w:sz w:val="20"/>
                <w:szCs w:val="20"/>
                <w:lang w:val="en-US" w:eastAsia="ar-SA"/>
              </w:rPr>
              <w:t xml:space="preserve">: </w:t>
            </w:r>
            <w:r w:rsidR="00E651ED" w:rsidRPr="0009232E">
              <w:rPr>
                <w:rFonts w:eastAsia="Times New Roman"/>
                <w:sz w:val="20"/>
                <w:szCs w:val="20"/>
                <w:lang w:val="ro-RO" w:eastAsia="ar-SA"/>
              </w:rPr>
              <w:t>„Prezenta Hotărîre de Guvern transpune Directiva 92/66/CEE a Consiliului Comunităţilor Europene din 14 iulie 1992 de stabilire a măsurile comunitare de combatere a maladiei de Newcastle, publicată în Jurnalul Oficial al Comunităţii Europene L 260 din 5 septembrie 1992”.</w:t>
            </w:r>
          </w:p>
        </w:tc>
      </w:tr>
      <w:tr w:rsidR="00BC34BE" w:rsidRPr="00F24B45" w:rsidTr="007E2A11">
        <w:trPr>
          <w:trHeight w:val="274"/>
        </w:trPr>
        <w:tc>
          <w:tcPr>
            <w:tcW w:w="659" w:type="dxa"/>
          </w:tcPr>
          <w:p w:rsidR="00BC34BE" w:rsidRPr="0009232E" w:rsidRDefault="00BC34BE" w:rsidP="00AE0EC9">
            <w:pPr>
              <w:jc w:val="both"/>
              <w:rPr>
                <w:b/>
                <w:bCs/>
                <w:sz w:val="20"/>
                <w:szCs w:val="20"/>
                <w:lang w:val="en-US"/>
              </w:rPr>
            </w:pPr>
            <w:r w:rsidRPr="0009232E">
              <w:rPr>
                <w:b/>
                <w:bCs/>
                <w:sz w:val="20"/>
                <w:szCs w:val="20"/>
                <w:lang w:val="en-US"/>
              </w:rPr>
              <w:lastRenderedPageBreak/>
              <w:t>VII</w:t>
            </w:r>
          </w:p>
        </w:tc>
        <w:tc>
          <w:tcPr>
            <w:tcW w:w="3104" w:type="dxa"/>
          </w:tcPr>
          <w:p w:rsidR="00BC34BE" w:rsidRPr="0009232E" w:rsidRDefault="00BC34BE" w:rsidP="00AE0EC9">
            <w:pPr>
              <w:jc w:val="both"/>
              <w:rPr>
                <w:b/>
                <w:bCs/>
                <w:sz w:val="20"/>
                <w:szCs w:val="20"/>
                <w:lang w:val="ro-RO"/>
              </w:rPr>
            </w:pPr>
            <w:r w:rsidRPr="0009232E">
              <w:rPr>
                <w:b/>
                <w:bCs/>
                <w:sz w:val="20"/>
                <w:szCs w:val="20"/>
                <w:lang w:val="ro-RO"/>
              </w:rPr>
              <w:t>Agenţia Naţională pentru Siguranţa Alimentelor (nr. 01-6/1473 din 07.07.2017)</w:t>
            </w:r>
          </w:p>
        </w:tc>
        <w:tc>
          <w:tcPr>
            <w:tcW w:w="11972" w:type="dxa"/>
            <w:gridSpan w:val="2"/>
          </w:tcPr>
          <w:p w:rsidR="00445CC6" w:rsidRPr="0009232E" w:rsidRDefault="00445CC6" w:rsidP="00445CC6">
            <w:pPr>
              <w:jc w:val="center"/>
              <w:rPr>
                <w:b/>
                <w:bCs/>
                <w:sz w:val="20"/>
                <w:szCs w:val="20"/>
                <w:lang w:val="en-US"/>
              </w:rPr>
            </w:pPr>
            <w:r w:rsidRPr="0009232E">
              <w:rPr>
                <w:b/>
                <w:bCs/>
                <w:sz w:val="20"/>
                <w:szCs w:val="20"/>
                <w:lang w:val="en-US"/>
              </w:rPr>
              <w:t>Aviz pozitiv,</w:t>
            </w:r>
          </w:p>
          <w:p w:rsidR="00BC34BE" w:rsidRPr="0009232E" w:rsidRDefault="00445CC6" w:rsidP="00445CC6">
            <w:pPr>
              <w:tabs>
                <w:tab w:val="left" w:pos="284"/>
              </w:tabs>
              <w:jc w:val="center"/>
              <w:rPr>
                <w:sz w:val="20"/>
                <w:szCs w:val="20"/>
                <w:lang w:val="en-US"/>
              </w:rPr>
            </w:pPr>
            <w:r w:rsidRPr="0009232E">
              <w:rPr>
                <w:sz w:val="20"/>
                <w:szCs w:val="20"/>
                <w:lang w:val="en-US"/>
              </w:rPr>
              <w:t>Lipsa obiecţiilor şi propunerilor</w:t>
            </w:r>
          </w:p>
          <w:p w:rsidR="00445CC6" w:rsidRPr="0009232E" w:rsidRDefault="00445CC6" w:rsidP="00445CC6">
            <w:pPr>
              <w:tabs>
                <w:tab w:val="left" w:pos="284"/>
              </w:tabs>
              <w:jc w:val="center"/>
              <w:rPr>
                <w:b/>
                <w:bCs/>
                <w:sz w:val="20"/>
                <w:szCs w:val="20"/>
                <w:lang w:val="ro-RO"/>
              </w:rPr>
            </w:pPr>
          </w:p>
        </w:tc>
      </w:tr>
    </w:tbl>
    <w:p w:rsidR="00445CC6" w:rsidRDefault="00445CC6" w:rsidP="003A0527">
      <w:pPr>
        <w:rPr>
          <w:rFonts w:eastAsia="MS Mincho"/>
          <w:b/>
          <w:noProof w:val="0"/>
          <w:lang w:val="ro-RO" w:eastAsia="ja-JP"/>
        </w:rPr>
      </w:pPr>
    </w:p>
    <w:p w:rsidR="00BB6175" w:rsidRDefault="00BB6175" w:rsidP="003A0527">
      <w:pPr>
        <w:rPr>
          <w:rFonts w:eastAsia="MS Mincho"/>
          <w:b/>
          <w:noProof w:val="0"/>
          <w:lang w:val="ro-RO" w:eastAsia="ja-JP"/>
        </w:rPr>
      </w:pPr>
    </w:p>
    <w:p w:rsidR="00162F53" w:rsidRPr="003A0527" w:rsidRDefault="003A0527" w:rsidP="003A0527">
      <w:pPr>
        <w:rPr>
          <w:rFonts w:eastAsia="MS Mincho"/>
          <w:b/>
          <w:noProof w:val="0"/>
          <w:sz w:val="28"/>
          <w:szCs w:val="28"/>
          <w:lang w:val="en-US" w:eastAsia="ja-JP"/>
        </w:rPr>
      </w:pPr>
      <w:r w:rsidRPr="003A0527">
        <w:rPr>
          <w:rFonts w:eastAsia="MS Mincho"/>
          <w:b/>
          <w:noProof w:val="0"/>
          <w:lang w:val="ro-RO" w:eastAsia="ja-JP"/>
        </w:rPr>
        <w:t xml:space="preserve">                   </w:t>
      </w:r>
      <w:proofErr w:type="spellStart"/>
      <w:r w:rsidRPr="003A0527">
        <w:rPr>
          <w:rFonts w:eastAsia="MS Mincho"/>
          <w:b/>
          <w:noProof w:val="0"/>
          <w:sz w:val="28"/>
          <w:szCs w:val="28"/>
          <w:lang w:val="en-US" w:eastAsia="ja-JP"/>
        </w:rPr>
        <w:t>Viceministru</w:t>
      </w:r>
      <w:proofErr w:type="spellEnd"/>
      <w:r w:rsidRPr="003A0527">
        <w:rPr>
          <w:rFonts w:eastAsia="MS Mincho"/>
          <w:b/>
          <w:noProof w:val="0"/>
          <w:sz w:val="28"/>
          <w:szCs w:val="28"/>
          <w:lang w:val="en-US" w:eastAsia="ja-JP"/>
        </w:rPr>
        <w:t xml:space="preserve">                                                      </w:t>
      </w:r>
      <w:proofErr w:type="spellStart"/>
      <w:r w:rsidRPr="003A0527">
        <w:rPr>
          <w:rFonts w:eastAsia="MS Mincho"/>
          <w:b/>
          <w:noProof w:val="0"/>
          <w:sz w:val="28"/>
          <w:szCs w:val="28"/>
          <w:lang w:val="en-US" w:eastAsia="ja-JP"/>
        </w:rPr>
        <w:t>Iurie</w:t>
      </w:r>
      <w:proofErr w:type="spellEnd"/>
      <w:r w:rsidRPr="003A0527">
        <w:rPr>
          <w:rFonts w:eastAsia="MS Mincho"/>
          <w:b/>
          <w:noProof w:val="0"/>
          <w:sz w:val="28"/>
          <w:szCs w:val="28"/>
          <w:lang w:val="en-US" w:eastAsia="ja-JP"/>
        </w:rPr>
        <w:t xml:space="preserve"> UŞURELU</w:t>
      </w:r>
    </w:p>
    <w:p w:rsidR="00BB6175" w:rsidRDefault="00BB6175" w:rsidP="003A0527">
      <w:pPr>
        <w:rPr>
          <w:rFonts w:eastAsia="MS Mincho"/>
          <w:b/>
          <w:noProof w:val="0"/>
          <w:sz w:val="28"/>
          <w:szCs w:val="28"/>
          <w:lang w:val="en-US" w:eastAsia="ja-JP"/>
        </w:rPr>
      </w:pPr>
    </w:p>
    <w:p w:rsidR="00BB6175" w:rsidRDefault="00BB6175" w:rsidP="003A0527">
      <w:pPr>
        <w:rPr>
          <w:rFonts w:eastAsia="MS Mincho"/>
          <w:b/>
          <w:noProof w:val="0"/>
          <w:sz w:val="28"/>
          <w:szCs w:val="28"/>
          <w:lang w:val="en-US" w:eastAsia="ja-JP"/>
        </w:rPr>
      </w:pPr>
    </w:p>
    <w:p w:rsidR="00BB6175" w:rsidRDefault="00BB6175" w:rsidP="003A0527">
      <w:pPr>
        <w:rPr>
          <w:rFonts w:eastAsia="MS Mincho"/>
          <w:b/>
          <w:noProof w:val="0"/>
          <w:sz w:val="28"/>
          <w:szCs w:val="28"/>
          <w:lang w:val="en-US" w:eastAsia="ja-JP"/>
        </w:rPr>
      </w:pPr>
    </w:p>
    <w:p w:rsidR="00BB6175" w:rsidRPr="003A0527" w:rsidRDefault="00BB6175" w:rsidP="003A0527">
      <w:pPr>
        <w:rPr>
          <w:rFonts w:eastAsia="MS Mincho"/>
          <w:b/>
          <w:noProof w:val="0"/>
          <w:sz w:val="28"/>
          <w:szCs w:val="28"/>
          <w:lang w:val="en-US" w:eastAsia="ja-JP"/>
        </w:rPr>
      </w:pPr>
    </w:p>
    <w:p w:rsidR="003A0527" w:rsidRPr="003A0527" w:rsidRDefault="003A0527" w:rsidP="003A0527">
      <w:pPr>
        <w:ind w:firstLine="708"/>
        <w:rPr>
          <w:rFonts w:eastAsia="MS Mincho"/>
          <w:i/>
          <w:noProof w:val="0"/>
          <w:sz w:val="16"/>
          <w:szCs w:val="16"/>
          <w:lang w:val="en-US" w:eastAsia="ja-JP"/>
        </w:rPr>
      </w:pPr>
      <w:r w:rsidRPr="003A0527">
        <w:rPr>
          <w:rFonts w:eastAsia="MS Mincho"/>
          <w:i/>
          <w:noProof w:val="0"/>
          <w:sz w:val="16"/>
          <w:szCs w:val="16"/>
          <w:lang w:val="en-US" w:eastAsia="ja-JP"/>
        </w:rPr>
        <w:t xml:space="preserve">Ex: D. </w:t>
      </w:r>
      <w:proofErr w:type="spellStart"/>
      <w:r w:rsidRPr="003A0527">
        <w:rPr>
          <w:rFonts w:eastAsia="MS Mincho"/>
          <w:i/>
          <w:noProof w:val="0"/>
          <w:sz w:val="16"/>
          <w:szCs w:val="16"/>
          <w:lang w:val="en-US" w:eastAsia="ja-JP"/>
        </w:rPr>
        <w:t>Mutu</w:t>
      </w:r>
      <w:proofErr w:type="spellEnd"/>
      <w:r w:rsidRPr="003A0527">
        <w:rPr>
          <w:rFonts w:eastAsia="MS Mincho"/>
          <w:i/>
          <w:noProof w:val="0"/>
          <w:sz w:val="16"/>
          <w:szCs w:val="16"/>
          <w:lang w:val="en-US" w:eastAsia="ja-JP"/>
        </w:rPr>
        <w:t xml:space="preserve"> </w:t>
      </w:r>
    </w:p>
    <w:p w:rsidR="006C7EE4" w:rsidRPr="003A0527" w:rsidRDefault="003A0527" w:rsidP="003A0527">
      <w:pPr>
        <w:autoSpaceDE w:val="0"/>
        <w:ind w:firstLine="708"/>
        <w:jc w:val="both"/>
        <w:rPr>
          <w:rFonts w:eastAsia="MS Mincho"/>
          <w:i/>
          <w:noProof w:val="0"/>
          <w:sz w:val="16"/>
          <w:szCs w:val="16"/>
          <w:lang w:val="en-US" w:eastAsia="ja-JP"/>
        </w:rPr>
      </w:pPr>
      <w:r w:rsidRPr="003A0527">
        <w:rPr>
          <w:rFonts w:eastAsia="TimesNewRoman"/>
          <w:i/>
          <w:noProof w:val="0"/>
          <w:sz w:val="16"/>
          <w:szCs w:val="16"/>
          <w:lang w:val="ro-RO" w:eastAsia="ja-JP"/>
        </w:rPr>
        <w:t>Tel (022) 210-724</w:t>
      </w:r>
      <w:hyperlink w:anchor="#" w:history="1"/>
    </w:p>
    <w:sectPr w:rsidR="006C7EE4" w:rsidRPr="003A0527" w:rsidSect="00BB6175">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D03"/>
    <w:multiLevelType w:val="hybridMultilevel"/>
    <w:tmpl w:val="B8CA9ACC"/>
    <w:lvl w:ilvl="0" w:tplc="176A809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88690D"/>
    <w:multiLevelType w:val="hybridMultilevel"/>
    <w:tmpl w:val="D61A3B8E"/>
    <w:lvl w:ilvl="0" w:tplc="7F74F6C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9"/>
    <w:rsid w:val="000025F1"/>
    <w:rsid w:val="00003BFD"/>
    <w:rsid w:val="000265F6"/>
    <w:rsid w:val="0003046E"/>
    <w:rsid w:val="000551D8"/>
    <w:rsid w:val="000623BE"/>
    <w:rsid w:val="00067743"/>
    <w:rsid w:val="00082257"/>
    <w:rsid w:val="0009232E"/>
    <w:rsid w:val="000A361E"/>
    <w:rsid w:val="000E4775"/>
    <w:rsid w:val="000F6736"/>
    <w:rsid w:val="001051D6"/>
    <w:rsid w:val="00134009"/>
    <w:rsid w:val="00162F53"/>
    <w:rsid w:val="001642AC"/>
    <w:rsid w:val="001A0BD6"/>
    <w:rsid w:val="001A3DE8"/>
    <w:rsid w:val="001C2424"/>
    <w:rsid w:val="001E481C"/>
    <w:rsid w:val="0023099C"/>
    <w:rsid w:val="0023225D"/>
    <w:rsid w:val="00243A0F"/>
    <w:rsid w:val="00245071"/>
    <w:rsid w:val="00275389"/>
    <w:rsid w:val="002B38DE"/>
    <w:rsid w:val="002B6EA1"/>
    <w:rsid w:val="002C5F8F"/>
    <w:rsid w:val="002C656A"/>
    <w:rsid w:val="002F1159"/>
    <w:rsid w:val="00310A29"/>
    <w:rsid w:val="00314879"/>
    <w:rsid w:val="00366BDC"/>
    <w:rsid w:val="003864F9"/>
    <w:rsid w:val="00393748"/>
    <w:rsid w:val="003A0527"/>
    <w:rsid w:val="003B0C8A"/>
    <w:rsid w:val="003C1621"/>
    <w:rsid w:val="00401F07"/>
    <w:rsid w:val="0040293F"/>
    <w:rsid w:val="00402B5F"/>
    <w:rsid w:val="00412A2A"/>
    <w:rsid w:val="00436DE8"/>
    <w:rsid w:val="00442BC9"/>
    <w:rsid w:val="00445CC6"/>
    <w:rsid w:val="00460EF2"/>
    <w:rsid w:val="00480D2F"/>
    <w:rsid w:val="004F1454"/>
    <w:rsid w:val="004F7204"/>
    <w:rsid w:val="00537D2C"/>
    <w:rsid w:val="00547782"/>
    <w:rsid w:val="00566564"/>
    <w:rsid w:val="00583ACB"/>
    <w:rsid w:val="005A4792"/>
    <w:rsid w:val="005A5CA4"/>
    <w:rsid w:val="005C52CF"/>
    <w:rsid w:val="005D2655"/>
    <w:rsid w:val="006529C4"/>
    <w:rsid w:val="00673FA6"/>
    <w:rsid w:val="006F7079"/>
    <w:rsid w:val="006F7FCB"/>
    <w:rsid w:val="007063C2"/>
    <w:rsid w:val="00716669"/>
    <w:rsid w:val="00736204"/>
    <w:rsid w:val="00752492"/>
    <w:rsid w:val="00752526"/>
    <w:rsid w:val="00752AB6"/>
    <w:rsid w:val="00795F16"/>
    <w:rsid w:val="007C19AE"/>
    <w:rsid w:val="007D44D1"/>
    <w:rsid w:val="007E2294"/>
    <w:rsid w:val="007E2A11"/>
    <w:rsid w:val="008577AB"/>
    <w:rsid w:val="00863465"/>
    <w:rsid w:val="008C73B0"/>
    <w:rsid w:val="00914445"/>
    <w:rsid w:val="009524E5"/>
    <w:rsid w:val="009621FD"/>
    <w:rsid w:val="00980491"/>
    <w:rsid w:val="00995770"/>
    <w:rsid w:val="009A0F99"/>
    <w:rsid w:val="009B56F7"/>
    <w:rsid w:val="009D35AB"/>
    <w:rsid w:val="009E0C27"/>
    <w:rsid w:val="00A07833"/>
    <w:rsid w:val="00A1310E"/>
    <w:rsid w:val="00A15FF0"/>
    <w:rsid w:val="00A44A9F"/>
    <w:rsid w:val="00A54F32"/>
    <w:rsid w:val="00A77AA9"/>
    <w:rsid w:val="00AA2DCB"/>
    <w:rsid w:val="00AE0EC9"/>
    <w:rsid w:val="00AE79BF"/>
    <w:rsid w:val="00B13695"/>
    <w:rsid w:val="00B221B8"/>
    <w:rsid w:val="00B96DC2"/>
    <w:rsid w:val="00BA3E39"/>
    <w:rsid w:val="00BB6175"/>
    <w:rsid w:val="00BC34BE"/>
    <w:rsid w:val="00C0518F"/>
    <w:rsid w:val="00C31800"/>
    <w:rsid w:val="00C37365"/>
    <w:rsid w:val="00C412F8"/>
    <w:rsid w:val="00C466C0"/>
    <w:rsid w:val="00C73AC7"/>
    <w:rsid w:val="00CB3504"/>
    <w:rsid w:val="00CE61D9"/>
    <w:rsid w:val="00CF1103"/>
    <w:rsid w:val="00D00108"/>
    <w:rsid w:val="00D17797"/>
    <w:rsid w:val="00D615AF"/>
    <w:rsid w:val="00D71986"/>
    <w:rsid w:val="00D75661"/>
    <w:rsid w:val="00D957C3"/>
    <w:rsid w:val="00DA6780"/>
    <w:rsid w:val="00DF061D"/>
    <w:rsid w:val="00DF5AFA"/>
    <w:rsid w:val="00E14E75"/>
    <w:rsid w:val="00E651ED"/>
    <w:rsid w:val="00E9731C"/>
    <w:rsid w:val="00E97754"/>
    <w:rsid w:val="00EB03B0"/>
    <w:rsid w:val="00EB696A"/>
    <w:rsid w:val="00F015C4"/>
    <w:rsid w:val="00F02A15"/>
    <w:rsid w:val="00F130FD"/>
    <w:rsid w:val="00F14F98"/>
    <w:rsid w:val="00F24B45"/>
    <w:rsid w:val="00F37662"/>
    <w:rsid w:val="00F90932"/>
    <w:rsid w:val="00FB0C78"/>
    <w:rsid w:val="00FD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78"/>
    <w:pPr>
      <w:spacing w:after="0" w:line="240" w:lineRule="auto"/>
    </w:pPr>
    <w:rPr>
      <w:rFonts w:ascii="Times New Roman" w:eastAsia="Calibri"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78"/>
    <w:pPr>
      <w:spacing w:after="0" w:line="240" w:lineRule="auto"/>
    </w:pPr>
    <w:rPr>
      <w:rFonts w:ascii="Times New Roman" w:eastAsia="Calibri"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CIA</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Anatolie</dc:creator>
  <cp:keywords/>
  <dc:description/>
  <cp:lastModifiedBy>Anatolie</cp:lastModifiedBy>
  <cp:revision>615</cp:revision>
  <cp:lastPrinted>2017-07-11T06:08:00Z</cp:lastPrinted>
  <dcterms:created xsi:type="dcterms:W3CDTF">2017-06-02T11:55:00Z</dcterms:created>
  <dcterms:modified xsi:type="dcterms:W3CDTF">2017-07-11T06:19:00Z</dcterms:modified>
</cp:coreProperties>
</file>